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1C16B" w14:textId="344BA150" w:rsidR="00403CAD" w:rsidRDefault="00997E0E" w:rsidP="00997E0E">
      <w:pPr>
        <w:pStyle w:val="Heading1"/>
      </w:pPr>
      <w:r>
        <w:t xml:space="preserve">Enbridge TCEQ Federal Operating Permit (FOP) </w:t>
      </w:r>
      <w:r w:rsidR="00201154">
        <w:t xml:space="preserve">O3906 </w:t>
      </w:r>
      <w:r w:rsidR="00517520">
        <w:t>Talking Points</w:t>
      </w:r>
      <w:r w:rsidR="000D4547">
        <w:t xml:space="preserve"> </w:t>
      </w:r>
      <w:r w:rsidR="00B349C6">
        <w:t>(</w:t>
      </w:r>
      <w:r w:rsidR="00873A96">
        <w:t>Revision #1</w:t>
      </w:r>
      <w:r w:rsidR="00B349C6">
        <w:t>)</w:t>
      </w:r>
    </w:p>
    <w:p w14:paraId="14214245" w14:textId="1D4DB242" w:rsidR="003B6A79" w:rsidRPr="003B6A79" w:rsidRDefault="003B6A79" w:rsidP="003B6A79">
      <w:r w:rsidRPr="004E0A3F">
        <w:rPr>
          <w:b/>
          <w:bCs/>
        </w:rPr>
        <w:t xml:space="preserve">1/11/24 at </w:t>
      </w:r>
      <w:r w:rsidR="00D9108F" w:rsidRPr="004E0A3F">
        <w:rPr>
          <w:b/>
          <w:bCs/>
        </w:rPr>
        <w:t>7:00 p</w:t>
      </w:r>
      <w:r w:rsidRPr="004E0A3F">
        <w:rPr>
          <w:b/>
          <w:bCs/>
        </w:rPr>
        <w:t xml:space="preserve">m </w:t>
      </w:r>
      <w:r>
        <w:t>(Portland Community Center</w:t>
      </w:r>
      <w:r w:rsidR="004E0A3F">
        <w:t xml:space="preserve">, </w:t>
      </w:r>
      <w:r w:rsidR="004E0A3F">
        <w:rPr>
          <w:rFonts w:ascii="Roboto" w:hAnsi="Roboto"/>
          <w:color w:val="202124"/>
          <w:sz w:val="21"/>
          <w:szCs w:val="21"/>
          <w:shd w:val="clear" w:color="auto" w:fill="FFFFFF"/>
        </w:rPr>
        <w:t>2000 Billy G Webb Dr, Portland</w:t>
      </w:r>
      <w:r>
        <w:t>): Public Notice and Comment Hearing</w:t>
      </w:r>
    </w:p>
    <w:p w14:paraId="2BA30B51" w14:textId="77777777" w:rsidR="00997E0E" w:rsidRDefault="00997E0E" w:rsidP="00997E0E"/>
    <w:p w14:paraId="555990E1" w14:textId="38A9FBDC" w:rsidR="00E3241A" w:rsidRPr="00997E0E" w:rsidRDefault="00E3241A" w:rsidP="00E3241A">
      <w:pPr>
        <w:pStyle w:val="Heading2"/>
      </w:pPr>
      <w:r>
        <w:t>What To Expect at The Hearing</w:t>
      </w:r>
    </w:p>
    <w:tbl>
      <w:tblPr>
        <w:tblStyle w:val="TableGrid"/>
        <w:tblW w:w="10903" w:type="dxa"/>
        <w:tblLook w:val="04A0" w:firstRow="1" w:lastRow="0" w:firstColumn="1" w:lastColumn="0" w:noHBand="0" w:noVBand="1"/>
      </w:tblPr>
      <w:tblGrid>
        <w:gridCol w:w="1615"/>
        <w:gridCol w:w="9288"/>
      </w:tblGrid>
      <w:tr w:rsidR="00997E0E" w:rsidRPr="00997E0E" w14:paraId="2608A749" w14:textId="77777777" w:rsidTr="0024748D">
        <w:trPr>
          <w:tblHeader/>
        </w:trPr>
        <w:tc>
          <w:tcPr>
            <w:tcW w:w="1615" w:type="dxa"/>
          </w:tcPr>
          <w:p w14:paraId="3994AB22" w14:textId="01472AE2" w:rsidR="00997E0E" w:rsidRPr="00997E0E" w:rsidRDefault="00997E0E" w:rsidP="00997E0E">
            <w:pPr>
              <w:rPr>
                <w:b/>
                <w:bCs/>
              </w:rPr>
            </w:pPr>
            <w:r>
              <w:rPr>
                <w:b/>
                <w:bCs/>
              </w:rPr>
              <w:t>Question</w:t>
            </w:r>
          </w:p>
        </w:tc>
        <w:tc>
          <w:tcPr>
            <w:tcW w:w="9288" w:type="dxa"/>
          </w:tcPr>
          <w:p w14:paraId="17760774" w14:textId="09B344AF" w:rsidR="00997E0E" w:rsidRPr="00997E0E" w:rsidRDefault="00997E0E" w:rsidP="00997E0E">
            <w:pPr>
              <w:rPr>
                <w:b/>
                <w:bCs/>
              </w:rPr>
            </w:pPr>
            <w:r>
              <w:rPr>
                <w:b/>
                <w:bCs/>
              </w:rPr>
              <w:t>Answer</w:t>
            </w:r>
          </w:p>
        </w:tc>
      </w:tr>
      <w:tr w:rsidR="00BA3D4B" w14:paraId="4C91705F" w14:textId="77777777" w:rsidTr="00CA1652">
        <w:tc>
          <w:tcPr>
            <w:tcW w:w="1615" w:type="dxa"/>
          </w:tcPr>
          <w:p w14:paraId="7E2E58DE" w14:textId="22B0A6F5" w:rsidR="00BA3D4B" w:rsidRDefault="00BA3D4B" w:rsidP="00CA1652">
            <w:r>
              <w:t xml:space="preserve">What is </w:t>
            </w:r>
            <w:r w:rsidR="00E3241A">
              <w:t>an FOP?</w:t>
            </w:r>
          </w:p>
        </w:tc>
        <w:tc>
          <w:tcPr>
            <w:tcW w:w="9288" w:type="dxa"/>
          </w:tcPr>
          <w:p w14:paraId="53144B16" w14:textId="05E92CD6" w:rsidR="00BA3D4B" w:rsidRDefault="00BA3D4B" w:rsidP="00CA1652">
            <w:r>
              <w:t>A</w:t>
            </w:r>
            <w:r w:rsidR="00E3241A">
              <w:t xml:space="preserve"> 5-year Federal Operating Permit (</w:t>
            </w:r>
            <w:r>
              <w:t>FOP</w:t>
            </w:r>
            <w:r w:rsidR="00E3241A">
              <w:t>)</w:t>
            </w:r>
            <w:r>
              <w:t xml:space="preserve"> specifies requirements </w:t>
            </w:r>
            <w:r w:rsidR="00E3241A">
              <w:t>&amp;</w:t>
            </w:r>
            <w:r>
              <w:t xml:space="preserve"> conditions under which a</w:t>
            </w:r>
            <w:r w:rsidR="00E3241A">
              <w:t xml:space="preserve"> polluting</w:t>
            </w:r>
            <w:r>
              <w:t xml:space="preserve"> industry must operate. It incorporates other air permits, but does not authorize new construction</w:t>
            </w:r>
            <w:r w:rsidR="00E3241A">
              <w:t xml:space="preserve">. </w:t>
            </w:r>
          </w:p>
        </w:tc>
      </w:tr>
      <w:tr w:rsidR="007A3E56" w14:paraId="26AB114A" w14:textId="77777777" w:rsidTr="0024748D">
        <w:tc>
          <w:tcPr>
            <w:tcW w:w="1615" w:type="dxa"/>
          </w:tcPr>
          <w:p w14:paraId="3073AE5B" w14:textId="0F986789" w:rsidR="007A3E56" w:rsidRDefault="007A3E56" w:rsidP="00126F9B">
            <w:r>
              <w:t>Why did we get this Hearing?</w:t>
            </w:r>
          </w:p>
        </w:tc>
        <w:tc>
          <w:tcPr>
            <w:tcW w:w="9288" w:type="dxa"/>
          </w:tcPr>
          <w:p w14:paraId="60F4B405" w14:textId="560375F9" w:rsidR="005D7982" w:rsidRDefault="007A3E56" w:rsidP="005D7982">
            <w:r>
              <w:t xml:space="preserve">At the request of IOBCWA, Sen. LaMantia and Rep. Lozano wrote </w:t>
            </w:r>
            <w:r w:rsidR="00517520">
              <w:t>a letter</w:t>
            </w:r>
            <w:r>
              <w:t xml:space="preserve"> asking TCEQ </w:t>
            </w:r>
            <w:r w:rsidR="0086108C">
              <w:t>for</w:t>
            </w:r>
            <w:r>
              <w:t xml:space="preserve"> this hearing, so we can learn more about Enbridge’s </w:t>
            </w:r>
            <w:r w:rsidR="0086108C">
              <w:t>operations</w:t>
            </w:r>
            <w:r>
              <w:t xml:space="preserve"> so close to IOB</w:t>
            </w:r>
            <w:r w:rsidR="00BA3D4B">
              <w:t xml:space="preserve"> on the former Navy Base property</w:t>
            </w:r>
            <w:r>
              <w:t>.</w:t>
            </w:r>
          </w:p>
        </w:tc>
      </w:tr>
      <w:tr w:rsidR="007A3E56" w14:paraId="1CF4F213" w14:textId="77777777" w:rsidTr="0024748D">
        <w:tc>
          <w:tcPr>
            <w:tcW w:w="1615" w:type="dxa"/>
          </w:tcPr>
          <w:p w14:paraId="301FB627" w14:textId="77777777" w:rsidR="007A3E56" w:rsidRDefault="007A3E56" w:rsidP="00517306">
            <w:r>
              <w:t>How will the hearing be conducted?</w:t>
            </w:r>
          </w:p>
        </w:tc>
        <w:tc>
          <w:tcPr>
            <w:tcW w:w="9288" w:type="dxa"/>
          </w:tcPr>
          <w:p w14:paraId="329BF901" w14:textId="09F45D73" w:rsidR="007A3E56" w:rsidRDefault="007A3E56" w:rsidP="00517306">
            <w:r>
              <w:t xml:space="preserve">TCEQ will manage the hearing. Enbridge </w:t>
            </w:r>
            <w:r w:rsidR="00517520">
              <w:t xml:space="preserve">will </w:t>
            </w:r>
            <w:r>
              <w:t>be there.</w:t>
            </w:r>
            <w:r w:rsidR="0086108C">
              <w:t xml:space="preserve"> </w:t>
            </w:r>
            <w:r>
              <w:t>There will be two parts:</w:t>
            </w:r>
          </w:p>
          <w:p w14:paraId="24AC6D69" w14:textId="703EDBEC" w:rsidR="007A3E56" w:rsidRPr="00517520" w:rsidRDefault="007A3E56" w:rsidP="00517306">
            <w:pPr>
              <w:pStyle w:val="ListParagraph"/>
              <w:numPr>
                <w:ilvl w:val="0"/>
                <w:numId w:val="3"/>
              </w:numPr>
              <w:rPr>
                <w:b/>
                <w:bCs/>
              </w:rPr>
            </w:pPr>
            <w:r>
              <w:t xml:space="preserve">Part 1: </w:t>
            </w:r>
            <w:r w:rsidRPr="00517520">
              <w:rPr>
                <w:b/>
                <w:bCs/>
              </w:rPr>
              <w:t xml:space="preserve">Off-the-Record </w:t>
            </w:r>
            <w:r w:rsidR="00E96C80">
              <w:rPr>
                <w:b/>
                <w:bCs/>
              </w:rPr>
              <w:t xml:space="preserve">30-minute </w:t>
            </w:r>
            <w:r w:rsidR="00517520" w:rsidRPr="00517520">
              <w:rPr>
                <w:b/>
                <w:bCs/>
              </w:rPr>
              <w:t>informal discussion with applicant and TCEQ.</w:t>
            </w:r>
          </w:p>
          <w:p w14:paraId="05EE2B04" w14:textId="0130EC70" w:rsidR="007A3E56" w:rsidRDefault="007A3E56" w:rsidP="00517306">
            <w:pPr>
              <w:pStyle w:val="ListParagraph"/>
              <w:numPr>
                <w:ilvl w:val="0"/>
                <w:numId w:val="3"/>
              </w:numPr>
            </w:pPr>
            <w:r>
              <w:t xml:space="preserve">Part 2: On-the-Record Statements that TCEQ </w:t>
            </w:r>
            <w:r w:rsidR="00E96C80">
              <w:t>must</w:t>
            </w:r>
            <w:r>
              <w:t xml:space="preserve"> respond to </w:t>
            </w:r>
            <w:r w:rsidR="0086108C">
              <w:t>in writing</w:t>
            </w:r>
            <w:r>
              <w:t xml:space="preserve"> and share with EPA</w:t>
            </w:r>
          </w:p>
        </w:tc>
      </w:tr>
      <w:tr w:rsidR="007A3E56" w14:paraId="6AE377F3" w14:textId="77777777" w:rsidTr="0024748D">
        <w:tc>
          <w:tcPr>
            <w:tcW w:w="1615" w:type="dxa"/>
          </w:tcPr>
          <w:p w14:paraId="7BF79086" w14:textId="7E9AFB34" w:rsidR="007A3E56" w:rsidRDefault="007A3E56" w:rsidP="00517306">
            <w:r>
              <w:t>How</w:t>
            </w:r>
            <w:r w:rsidR="0024748D">
              <w:t xml:space="preserve"> long can I</w:t>
            </w:r>
            <w:r>
              <w:t xml:space="preserve"> speak?</w:t>
            </w:r>
          </w:p>
        </w:tc>
        <w:tc>
          <w:tcPr>
            <w:tcW w:w="9288" w:type="dxa"/>
          </w:tcPr>
          <w:p w14:paraId="211AAC55" w14:textId="6759F551" w:rsidR="0086108C" w:rsidRPr="00E007BB" w:rsidRDefault="00517520" w:rsidP="00AB5BB3">
            <w:pPr>
              <w:rPr>
                <w:i/>
                <w:iCs/>
              </w:rPr>
            </w:pPr>
            <w:r>
              <w:t>Part 1 (first 30 minutes)</w:t>
            </w:r>
            <w:r w:rsidR="0086108C">
              <w:t>:</w:t>
            </w:r>
            <w:r>
              <w:t xml:space="preserve"> </w:t>
            </w:r>
            <w:r>
              <w:rPr>
                <w:b/>
                <w:bCs/>
              </w:rPr>
              <w:t>Open discussion with Enbridge and TCEQ</w:t>
            </w:r>
            <w:r w:rsidR="00D9108F">
              <w:rPr>
                <w:b/>
                <w:bCs/>
              </w:rPr>
              <w:t xml:space="preserve"> during registration period</w:t>
            </w:r>
            <w:r>
              <w:rPr>
                <w:b/>
                <w:bCs/>
              </w:rPr>
              <w:t>.</w:t>
            </w:r>
          </w:p>
          <w:p w14:paraId="30787402" w14:textId="5FD57787" w:rsidR="00D9108F" w:rsidRDefault="0086108C" w:rsidP="00AB5BB3">
            <w:r>
              <w:t xml:space="preserve">Part 2: </w:t>
            </w:r>
            <w:r w:rsidR="00517520">
              <w:t>5</w:t>
            </w:r>
            <w:r w:rsidR="007A3E56">
              <w:t xml:space="preserve"> minutes</w:t>
            </w:r>
            <w:r w:rsidR="00D9108F">
              <w:t xml:space="preserve"> max (possibly less, if a lot of folks sign up to speak)</w:t>
            </w:r>
          </w:p>
          <w:p w14:paraId="63706BC6" w14:textId="029539FE" w:rsidR="007A3E56" w:rsidRDefault="00E007BB" w:rsidP="00AB5BB3">
            <w:r w:rsidRPr="00E007BB">
              <w:rPr>
                <w:i/>
                <w:iCs/>
              </w:rPr>
              <w:t>(always do #1 below, most</w:t>
            </w:r>
            <w:r w:rsidR="00F91FB1">
              <w:rPr>
                <w:i/>
                <w:iCs/>
              </w:rPr>
              <w:t xml:space="preserve"> will</w:t>
            </w:r>
            <w:r w:rsidRPr="00E007BB">
              <w:rPr>
                <w:i/>
                <w:iCs/>
              </w:rPr>
              <w:t xml:space="preserve"> also do #2; </w:t>
            </w:r>
            <w:r w:rsidR="00D9108F">
              <w:rPr>
                <w:i/>
                <w:iCs/>
              </w:rPr>
              <w:t xml:space="preserve">some may be comfortable to add </w:t>
            </w:r>
            <w:r w:rsidR="00F91FB1">
              <w:rPr>
                <w:i/>
                <w:iCs/>
              </w:rPr>
              <w:t xml:space="preserve">#3 a, b, </w:t>
            </w:r>
            <w:r w:rsidR="00D9108F">
              <w:rPr>
                <w:i/>
                <w:iCs/>
              </w:rPr>
              <w:t>and/</w:t>
            </w:r>
            <w:r w:rsidR="00F91FB1">
              <w:rPr>
                <w:i/>
                <w:iCs/>
              </w:rPr>
              <w:t>or c)</w:t>
            </w:r>
          </w:p>
        </w:tc>
      </w:tr>
      <w:tr w:rsidR="007A3E56" w14:paraId="520908EC" w14:textId="77777777" w:rsidTr="0024748D">
        <w:tc>
          <w:tcPr>
            <w:tcW w:w="1615" w:type="dxa"/>
          </w:tcPr>
          <w:p w14:paraId="337D8A22" w14:textId="3C2399CA" w:rsidR="007A3E56" w:rsidRDefault="007A3E56" w:rsidP="00517306">
            <w:r>
              <w:t xml:space="preserve">What should I say during </w:t>
            </w:r>
            <w:r w:rsidRPr="008923C9">
              <w:rPr>
                <w:b/>
                <w:bCs/>
              </w:rPr>
              <w:t>Part 1: Off-</w:t>
            </w:r>
            <w:r w:rsidR="0024748D" w:rsidRPr="008923C9">
              <w:rPr>
                <w:b/>
                <w:bCs/>
              </w:rPr>
              <w:t>R</w:t>
            </w:r>
            <w:r w:rsidRPr="008923C9">
              <w:rPr>
                <w:b/>
                <w:bCs/>
              </w:rPr>
              <w:t>ecord Q&amp;A</w:t>
            </w:r>
            <w:r>
              <w:t>?</w:t>
            </w:r>
          </w:p>
        </w:tc>
        <w:tc>
          <w:tcPr>
            <w:tcW w:w="9288" w:type="dxa"/>
          </w:tcPr>
          <w:p w14:paraId="48B475E2" w14:textId="207BD2C4" w:rsidR="00D9108F" w:rsidRDefault="00517520" w:rsidP="00517520">
            <w:pPr>
              <w:pStyle w:val="ListParagraph"/>
              <w:numPr>
                <w:ilvl w:val="0"/>
                <w:numId w:val="11"/>
              </w:numPr>
            </w:pPr>
            <w:r w:rsidRPr="008923C9">
              <w:rPr>
                <w:b/>
                <w:bCs/>
              </w:rPr>
              <w:t xml:space="preserve">Part 1 </w:t>
            </w:r>
            <w:r w:rsidR="00D9108F" w:rsidRPr="008923C9">
              <w:rPr>
                <w:b/>
                <w:bCs/>
              </w:rPr>
              <w:t>only lasts</w:t>
            </w:r>
            <w:r w:rsidRPr="008923C9">
              <w:rPr>
                <w:b/>
                <w:bCs/>
              </w:rPr>
              <w:t xml:space="preserve"> 30 minutes</w:t>
            </w:r>
            <w:r w:rsidR="00D9108F">
              <w:t xml:space="preserve"> (possibly from 6:30-7:00)</w:t>
            </w:r>
            <w:r>
              <w:t xml:space="preserve">, </w:t>
            </w:r>
            <w:r w:rsidR="00E96C80">
              <w:t xml:space="preserve">is </w:t>
            </w:r>
            <w:r>
              <w:t xml:space="preserve">off-record, and does not require written response unless </w:t>
            </w:r>
            <w:r w:rsidR="00D9108F">
              <w:t>the issue is</w:t>
            </w:r>
            <w:r>
              <w:t xml:space="preserve"> also brought up in Part 2. </w:t>
            </w:r>
            <w:r w:rsidR="008923C9">
              <w:t xml:space="preserve">So </w:t>
            </w:r>
            <w:r w:rsidR="008923C9" w:rsidRPr="008923C9">
              <w:rPr>
                <w:b/>
                <w:bCs/>
              </w:rPr>
              <w:t>don’t waste this time on accusations</w:t>
            </w:r>
            <w:r w:rsidR="008923C9">
              <w:t>.</w:t>
            </w:r>
          </w:p>
          <w:p w14:paraId="78C1C1BF" w14:textId="754888E9" w:rsidR="007B4F1B" w:rsidRDefault="00517520" w:rsidP="00517520">
            <w:pPr>
              <w:pStyle w:val="ListParagraph"/>
              <w:numPr>
                <w:ilvl w:val="0"/>
                <w:numId w:val="11"/>
              </w:numPr>
            </w:pPr>
            <w:r>
              <w:t>Limit</w:t>
            </w:r>
            <w:r w:rsidR="007A3E56">
              <w:t xml:space="preserve"> to </w:t>
            </w:r>
            <w:r w:rsidR="00D9108F">
              <w:rPr>
                <w:b/>
                <w:bCs/>
              </w:rPr>
              <w:t xml:space="preserve">only </w:t>
            </w:r>
            <w:r w:rsidRPr="00D9108F">
              <w:rPr>
                <w:b/>
                <w:bCs/>
              </w:rPr>
              <w:t>questions</w:t>
            </w:r>
            <w:r w:rsidR="00D9108F">
              <w:rPr>
                <w:b/>
                <w:bCs/>
              </w:rPr>
              <w:t xml:space="preserve"> you don’t know the answer to or that would yield </w:t>
            </w:r>
            <w:r w:rsidR="008923C9">
              <w:rPr>
                <w:b/>
                <w:bCs/>
              </w:rPr>
              <w:t>NEW</w:t>
            </w:r>
            <w:r w:rsidR="00D9108F">
              <w:rPr>
                <w:b/>
                <w:bCs/>
              </w:rPr>
              <w:t xml:space="preserve"> information</w:t>
            </w:r>
            <w:r w:rsidR="00D9108F" w:rsidRPr="00D9108F">
              <w:rPr>
                <w:b/>
                <w:bCs/>
              </w:rPr>
              <w:t xml:space="preserve"> that might cast </w:t>
            </w:r>
            <w:r w:rsidR="008923C9">
              <w:rPr>
                <w:b/>
                <w:bCs/>
              </w:rPr>
              <w:t xml:space="preserve">even more </w:t>
            </w:r>
            <w:r w:rsidR="00D9108F" w:rsidRPr="00D9108F">
              <w:rPr>
                <w:b/>
                <w:bCs/>
              </w:rPr>
              <w:t>doubt</w:t>
            </w:r>
            <w:r w:rsidR="00D9108F">
              <w:t xml:space="preserve"> on wisdom of</w:t>
            </w:r>
            <w:r w:rsidR="008923C9">
              <w:t xml:space="preserve"> TCEQ</w:t>
            </w:r>
            <w:r w:rsidR="00D9108F">
              <w:t xml:space="preserve"> issuing</w:t>
            </w:r>
            <w:r>
              <w:t xml:space="preserve"> </w:t>
            </w:r>
            <w:hyperlink r:id="rId5" w:history="1">
              <w:r>
                <w:rPr>
                  <w:rStyle w:val="Hyperlink"/>
                </w:rPr>
                <w:t>Standard Operating P</w:t>
              </w:r>
              <w:r w:rsidRPr="005D3907">
                <w:rPr>
                  <w:rStyle w:val="Hyperlink"/>
                </w:rPr>
                <w:t>ermi</w:t>
              </w:r>
              <w:r>
                <w:rPr>
                  <w:rStyle w:val="Hyperlink"/>
                </w:rPr>
                <w:t>t (SOP)</w:t>
              </w:r>
            </w:hyperlink>
          </w:p>
          <w:p w14:paraId="2A0D0F19" w14:textId="75A7C382" w:rsidR="007B4F1B" w:rsidRDefault="007B4F1B" w:rsidP="0024748D">
            <w:pPr>
              <w:pStyle w:val="ListParagraph"/>
              <w:numPr>
                <w:ilvl w:val="0"/>
                <w:numId w:val="11"/>
              </w:numPr>
            </w:pPr>
            <w:r>
              <w:t xml:space="preserve">Note responses to questions of interest, so you can </w:t>
            </w:r>
            <w:r w:rsidR="00D9108F">
              <w:t>make</w:t>
            </w:r>
            <w:r>
              <w:t xml:space="preserve"> on-record</w:t>
            </w:r>
            <w:r w:rsidR="0086108C">
              <w:t xml:space="preserve"> statements</w:t>
            </w:r>
            <w:r w:rsidR="00D9108F">
              <w:t xml:space="preserve"> in Part 2.</w:t>
            </w:r>
          </w:p>
        </w:tc>
      </w:tr>
      <w:tr w:rsidR="007A3E56" w14:paraId="469BF8DD" w14:textId="77777777" w:rsidTr="0024748D">
        <w:tc>
          <w:tcPr>
            <w:tcW w:w="1615" w:type="dxa"/>
          </w:tcPr>
          <w:p w14:paraId="3FA83394" w14:textId="77777777" w:rsidR="007A3E56" w:rsidRDefault="007A3E56" w:rsidP="00517306">
            <w:r>
              <w:t xml:space="preserve">What should I say during </w:t>
            </w:r>
            <w:r w:rsidRPr="008923C9">
              <w:rPr>
                <w:b/>
                <w:bCs/>
              </w:rPr>
              <w:t>Part 2: On-Record Statements?</w:t>
            </w:r>
          </w:p>
        </w:tc>
        <w:tc>
          <w:tcPr>
            <w:tcW w:w="9288" w:type="dxa"/>
          </w:tcPr>
          <w:p w14:paraId="32CF998C" w14:textId="7D58F837" w:rsidR="007A3E56" w:rsidRDefault="00E007BB" w:rsidP="00E007BB">
            <w:r>
              <w:t xml:space="preserve">#1) </w:t>
            </w:r>
            <w:r w:rsidR="00CA758F">
              <w:t>During on-record</w:t>
            </w:r>
            <w:r w:rsidR="00E3241A">
              <w:t xml:space="preserve"> Part 2, a</w:t>
            </w:r>
            <w:r w:rsidR="007A3E56">
              <w:t xml:space="preserve">lways include these two statements: </w:t>
            </w:r>
          </w:p>
          <w:p w14:paraId="61424F19" w14:textId="3879BC9C" w:rsidR="007A3E56" w:rsidRDefault="0086108C" w:rsidP="00517306">
            <w:pPr>
              <w:pStyle w:val="ListParagraph"/>
              <w:numPr>
                <w:ilvl w:val="0"/>
                <w:numId w:val="7"/>
              </w:numPr>
            </w:pPr>
            <w:r>
              <w:t xml:space="preserve">Please </w:t>
            </w:r>
            <w:r w:rsidRPr="00BA3D4B">
              <w:rPr>
                <w:b/>
                <w:bCs/>
              </w:rPr>
              <w:t>extend the</w:t>
            </w:r>
            <w:r w:rsidR="007A3E56">
              <w:t xml:space="preserve"> </w:t>
            </w:r>
            <w:r w:rsidR="007A3E56" w:rsidRPr="0024748D">
              <w:rPr>
                <w:b/>
                <w:bCs/>
              </w:rPr>
              <w:t>comment perio</w:t>
            </w:r>
            <w:r>
              <w:rPr>
                <w:b/>
                <w:bCs/>
              </w:rPr>
              <w:t>d</w:t>
            </w:r>
            <w:r>
              <w:t xml:space="preserve"> </w:t>
            </w:r>
            <w:r w:rsidR="00BA3D4B">
              <w:t>so we can</w:t>
            </w:r>
            <w:r>
              <w:t xml:space="preserve"> consider</w:t>
            </w:r>
            <w:r w:rsidR="007A3E56">
              <w:t xml:space="preserve"> </w:t>
            </w:r>
            <w:r w:rsidR="00BA3D4B">
              <w:t xml:space="preserve">the </w:t>
            </w:r>
            <w:r w:rsidR="007A3E56">
              <w:t>info</w:t>
            </w:r>
            <w:r>
              <w:t>rmation</w:t>
            </w:r>
            <w:r w:rsidR="007A3E56">
              <w:t xml:space="preserve"> presented tonight.</w:t>
            </w:r>
          </w:p>
          <w:p w14:paraId="47E1579C" w14:textId="5DF1F724" w:rsidR="007A3E56" w:rsidRDefault="007A3E56" w:rsidP="00517306">
            <w:pPr>
              <w:pStyle w:val="ListParagraph"/>
              <w:numPr>
                <w:ilvl w:val="0"/>
                <w:numId w:val="7"/>
              </w:numPr>
            </w:pPr>
            <w:r>
              <w:t xml:space="preserve">I </w:t>
            </w:r>
            <w:r w:rsidRPr="00BA3D4B">
              <w:rPr>
                <w:b/>
                <w:bCs/>
              </w:rPr>
              <w:t>oppose this permit</w:t>
            </w:r>
            <w:r>
              <w:t>. [TCEQ will tally up the numbers of people for and against.]</w:t>
            </w:r>
          </w:p>
          <w:p w14:paraId="2AEADA3C" w14:textId="13D8827C" w:rsidR="007A3E56" w:rsidRDefault="00E007BB" w:rsidP="00E007BB">
            <w:r>
              <w:t xml:space="preserve">#2) </w:t>
            </w:r>
            <w:r w:rsidR="007A3E56">
              <w:t xml:space="preserve">Describe your </w:t>
            </w:r>
            <w:r w:rsidR="007A3E56" w:rsidRPr="00E007BB">
              <w:rPr>
                <w:b/>
                <w:bCs/>
              </w:rPr>
              <w:t>personal experience</w:t>
            </w:r>
            <w:r w:rsidR="0093526F" w:rsidRPr="00E007BB">
              <w:rPr>
                <w:b/>
                <w:bCs/>
              </w:rPr>
              <w:t xml:space="preserve"> &amp; knowledge</w:t>
            </w:r>
            <w:r w:rsidR="007A3E56">
              <w:t xml:space="preserve"> related to Enbridge</w:t>
            </w:r>
            <w:r w:rsidR="0093526F">
              <w:t>;</w:t>
            </w:r>
            <w:r w:rsidR="007B4F1B">
              <w:t xml:space="preserve"> show outrage &amp; concern</w:t>
            </w:r>
            <w:r w:rsidR="007A3E56">
              <w:t xml:space="preserve">: </w:t>
            </w:r>
          </w:p>
          <w:p w14:paraId="0EC2EC1E" w14:textId="6F5F3566" w:rsidR="007A3E56" w:rsidRDefault="007A3E56" w:rsidP="00517306">
            <w:pPr>
              <w:pStyle w:val="ListParagraph"/>
              <w:numPr>
                <w:ilvl w:val="0"/>
                <w:numId w:val="8"/>
              </w:numPr>
            </w:pPr>
            <w:r>
              <w:t xml:space="preserve">As a resident of </w:t>
            </w:r>
            <w:r w:rsidR="00E3241A">
              <w:t>IOB</w:t>
            </w:r>
            <w:r>
              <w:t>, I personally have experienced (describe all that apply – IN DETAIL</w:t>
            </w:r>
            <w:r w:rsidR="0093526F">
              <w:t>)</w:t>
            </w:r>
            <w:r>
              <w:t>:</w:t>
            </w:r>
          </w:p>
          <w:p w14:paraId="66E8F6D7" w14:textId="764757EE" w:rsidR="007A3E56" w:rsidRDefault="007A3E56" w:rsidP="00517306">
            <w:pPr>
              <w:pStyle w:val="ListParagraph"/>
              <w:numPr>
                <w:ilvl w:val="0"/>
                <w:numId w:val="2"/>
              </w:numPr>
              <w:ind w:left="1440"/>
            </w:pPr>
            <w:r>
              <w:t>Exacerbation of existing health conditions (e.g., asthma, COPD)</w:t>
            </w:r>
          </w:p>
          <w:p w14:paraId="016953E6" w14:textId="1FF1DDA8" w:rsidR="007A3E56" w:rsidRDefault="007A3E56" w:rsidP="00517306">
            <w:pPr>
              <w:pStyle w:val="ListParagraph"/>
              <w:numPr>
                <w:ilvl w:val="0"/>
                <w:numId w:val="2"/>
              </w:numPr>
              <w:ind w:left="1440"/>
            </w:pPr>
            <w:r>
              <w:t>Bad odors that smell like petrochemical products</w:t>
            </w:r>
            <w:r w:rsidR="008923C9">
              <w:t xml:space="preserve">; </w:t>
            </w:r>
            <w:r>
              <w:t>Disruptive noises and alarms</w:t>
            </w:r>
          </w:p>
          <w:p w14:paraId="40C44A63" w14:textId="77777777" w:rsidR="007A3E56" w:rsidRDefault="007A3E56" w:rsidP="00517306">
            <w:pPr>
              <w:pStyle w:val="ListParagraph"/>
              <w:numPr>
                <w:ilvl w:val="0"/>
                <w:numId w:val="2"/>
              </w:numPr>
              <w:ind w:left="1440"/>
            </w:pPr>
            <w:r>
              <w:t>Close calls with ships</w:t>
            </w:r>
          </w:p>
          <w:p w14:paraId="45669BC5" w14:textId="63E35E1F" w:rsidR="007A3E56" w:rsidRDefault="007A3E56" w:rsidP="00517306">
            <w:pPr>
              <w:pStyle w:val="ListParagraph"/>
              <w:numPr>
                <w:ilvl w:val="0"/>
                <w:numId w:val="2"/>
              </w:numPr>
              <w:ind w:left="1440"/>
            </w:pPr>
            <w:r>
              <w:t>Anything else</w:t>
            </w:r>
            <w:r w:rsidR="00AD4C3E">
              <w:t>, like complaints filed, visual smoke, etc.</w:t>
            </w:r>
          </w:p>
          <w:p w14:paraId="0C72B7C6" w14:textId="419D8DC8" w:rsidR="007A3E56" w:rsidRDefault="007A3E56" w:rsidP="00517306">
            <w:pPr>
              <w:pStyle w:val="ListParagraph"/>
              <w:numPr>
                <w:ilvl w:val="0"/>
                <w:numId w:val="2"/>
              </w:numPr>
            </w:pPr>
            <w:r>
              <w:t xml:space="preserve">Several of my </w:t>
            </w:r>
            <w:r w:rsidRPr="0024748D">
              <w:rPr>
                <w:b/>
                <w:bCs/>
              </w:rPr>
              <w:t>friends and neighbors</w:t>
            </w:r>
            <w:r>
              <w:t xml:space="preserve"> </w:t>
            </w:r>
            <w:r w:rsidR="006B0AD0">
              <w:t xml:space="preserve">(provide addresses) </w:t>
            </w:r>
            <w:r>
              <w:t>have moved out of IOB because of</w:t>
            </w:r>
            <w:r w:rsidR="006B0AD0">
              <w:t xml:space="preserve"> Enbridge, due to worsening health (be specific), smoke/pollution, noise, property values…</w:t>
            </w:r>
          </w:p>
          <w:p w14:paraId="67E153D6" w14:textId="3C0E89B1" w:rsidR="007A3E56" w:rsidRDefault="00E007BB" w:rsidP="00E007BB">
            <w:r>
              <w:t xml:space="preserve">#3a) </w:t>
            </w:r>
            <w:r w:rsidR="007B4F1B">
              <w:t xml:space="preserve">Make </w:t>
            </w:r>
            <w:r w:rsidR="007B4F1B" w:rsidRPr="00E007BB">
              <w:rPr>
                <w:b/>
                <w:bCs/>
              </w:rPr>
              <w:t>statements about answers given during the Q&amp;A</w:t>
            </w:r>
            <w:r w:rsidR="007B4F1B">
              <w:t xml:space="preserve"> –</w:t>
            </w:r>
            <w:r w:rsidR="0093526F">
              <w:t xml:space="preserve">disagree; </w:t>
            </w:r>
            <w:r w:rsidR="007B4F1B">
              <w:t>express doubt</w:t>
            </w:r>
            <w:r w:rsidR="0093526F">
              <w:t xml:space="preserve"> &amp;</w:t>
            </w:r>
            <w:r w:rsidR="007B4F1B">
              <w:t xml:space="preserve"> concern </w:t>
            </w:r>
            <w:r>
              <w:t xml:space="preserve">#3b) </w:t>
            </w:r>
            <w:r w:rsidR="007B4F1B">
              <w:t>D</w:t>
            </w:r>
            <w:r w:rsidR="007A3E56">
              <w:t xml:space="preserve">escribe </w:t>
            </w:r>
            <w:r w:rsidR="00CA758F" w:rsidRPr="00E007BB">
              <w:rPr>
                <w:b/>
                <w:bCs/>
              </w:rPr>
              <w:t>technical</w:t>
            </w:r>
            <w:r w:rsidR="007A3E56" w:rsidRPr="00E007BB">
              <w:rPr>
                <w:b/>
                <w:bCs/>
              </w:rPr>
              <w:t xml:space="preserve"> concerns with </w:t>
            </w:r>
            <w:r w:rsidR="007B4F1B" w:rsidRPr="00E007BB">
              <w:rPr>
                <w:b/>
                <w:bCs/>
              </w:rPr>
              <w:t>Site Operating Permit (SOP)</w:t>
            </w:r>
            <w:r w:rsidR="007A3E56" w:rsidRPr="00E007BB">
              <w:rPr>
                <w:b/>
                <w:bCs/>
              </w:rPr>
              <w:t xml:space="preserve"> </w:t>
            </w:r>
            <w:r w:rsidR="007A3E56" w:rsidRPr="00BA3D4B">
              <w:t xml:space="preserve">and </w:t>
            </w:r>
            <w:r w:rsidR="007A3E56" w:rsidRPr="00E007BB">
              <w:rPr>
                <w:b/>
                <w:bCs/>
              </w:rPr>
              <w:t xml:space="preserve">conditions </w:t>
            </w:r>
            <w:r w:rsidR="00BA3D4B" w:rsidRPr="00E007BB">
              <w:rPr>
                <w:b/>
                <w:bCs/>
              </w:rPr>
              <w:t>to change/add</w:t>
            </w:r>
            <w:r w:rsidR="007A3E56">
              <w:t xml:space="preserve"> </w:t>
            </w:r>
          </w:p>
          <w:p w14:paraId="2800ED4A" w14:textId="0AA7ACD7" w:rsidR="00E007BB" w:rsidRDefault="00E007BB" w:rsidP="00E007BB">
            <w:r>
              <w:t xml:space="preserve">#3c) Use some of the </w:t>
            </w:r>
            <w:r w:rsidRPr="00E007BB">
              <w:rPr>
                <w:b/>
                <w:bCs/>
              </w:rPr>
              <w:t xml:space="preserve">talking points </w:t>
            </w:r>
            <w:r>
              <w:rPr>
                <w:b/>
                <w:bCs/>
              </w:rPr>
              <w:t>on next page</w:t>
            </w:r>
            <w:r>
              <w:t xml:space="preserve"> - and let IOBCWA know if you want more details</w:t>
            </w:r>
          </w:p>
        </w:tc>
      </w:tr>
      <w:tr w:rsidR="00567044" w14:paraId="2D915381" w14:textId="77777777" w:rsidTr="002D169E">
        <w:tc>
          <w:tcPr>
            <w:tcW w:w="1615" w:type="dxa"/>
          </w:tcPr>
          <w:p w14:paraId="01F7DB91" w14:textId="77777777" w:rsidR="00567044" w:rsidRDefault="00567044" w:rsidP="002D169E">
            <w:r>
              <w:t>What is in this FOP?</w:t>
            </w:r>
          </w:p>
        </w:tc>
        <w:tc>
          <w:tcPr>
            <w:tcW w:w="9288" w:type="dxa"/>
          </w:tcPr>
          <w:p w14:paraId="1CAEF357" w14:textId="77777777" w:rsidR="00567044" w:rsidRDefault="00567044" w:rsidP="002D169E">
            <w:r>
              <w:t>For those who want to dive in to the details, the FOP includes two main documents:</w:t>
            </w:r>
          </w:p>
          <w:p w14:paraId="7EBA03C8" w14:textId="77777777" w:rsidR="00567044" w:rsidRPr="00AB5BB3" w:rsidRDefault="00873A96" w:rsidP="002D169E">
            <w:pPr>
              <w:pStyle w:val="ListParagraph"/>
              <w:numPr>
                <w:ilvl w:val="0"/>
                <w:numId w:val="5"/>
              </w:numPr>
              <w:rPr>
                <w:b/>
                <w:bCs/>
              </w:rPr>
            </w:pPr>
            <w:hyperlink r:id="rId6" w:history="1">
              <w:r w:rsidR="00567044" w:rsidRPr="00BA2C19">
                <w:rPr>
                  <w:rStyle w:val="Hyperlink"/>
                </w:rPr>
                <w:t>Site Operating Permit (SOP)</w:t>
              </w:r>
            </w:hyperlink>
            <w:r w:rsidR="00567044" w:rsidRPr="00BA2C19">
              <w:t xml:space="preserve"> identifies all emissions sources, limits, safeguards, and controls for limiting emissions – </w:t>
            </w:r>
            <w:r w:rsidR="00567044" w:rsidRPr="00AB5BB3">
              <w:rPr>
                <w:b/>
                <w:bCs/>
              </w:rPr>
              <w:t>this is the document TCEQ can change in response to comments</w:t>
            </w:r>
          </w:p>
          <w:p w14:paraId="413002D2" w14:textId="77777777" w:rsidR="00567044" w:rsidRDefault="00873A96" w:rsidP="002D169E">
            <w:pPr>
              <w:pStyle w:val="ListParagraph"/>
              <w:numPr>
                <w:ilvl w:val="0"/>
                <w:numId w:val="5"/>
              </w:numPr>
            </w:pPr>
            <w:hyperlink r:id="rId7" w:history="1">
              <w:r w:rsidR="00567044" w:rsidRPr="00203AA6">
                <w:rPr>
                  <w:rStyle w:val="Hyperlink"/>
                </w:rPr>
                <w:t>Statement of Basis (SOB)</w:t>
              </w:r>
            </w:hyperlink>
            <w:r w:rsidR="00567044">
              <w:t xml:space="preserve"> justifying why these emissions are acceptable</w:t>
            </w:r>
          </w:p>
          <w:p w14:paraId="69E9132B" w14:textId="77777777" w:rsidR="00567044" w:rsidRDefault="00567044" w:rsidP="002D169E">
            <w:r>
              <w:t xml:space="preserve">It also incorporates, by reference, New Source Review (NSR) for TCEQ Air Permit 122362 - for which IOBCWA requested a TCEQ Public Meeting &amp; Contested Case Hearing in 2021 (not granted yet). </w:t>
            </w:r>
          </w:p>
        </w:tc>
      </w:tr>
      <w:tr w:rsidR="00567044" w14:paraId="5E0DD9E2" w14:textId="77777777" w:rsidTr="002D169E">
        <w:tc>
          <w:tcPr>
            <w:tcW w:w="1615" w:type="dxa"/>
          </w:tcPr>
          <w:p w14:paraId="3B3D5182" w14:textId="77777777" w:rsidR="00567044" w:rsidRDefault="00567044" w:rsidP="002D169E">
            <w:r>
              <w:t xml:space="preserve">What is the history of this FOP? </w:t>
            </w:r>
          </w:p>
        </w:tc>
        <w:tc>
          <w:tcPr>
            <w:tcW w:w="9288" w:type="dxa"/>
          </w:tcPr>
          <w:p w14:paraId="3A6CB34E" w14:textId="3DDCCCAB" w:rsidR="00567044" w:rsidRDefault="00567044" w:rsidP="002D169E">
            <w:r>
              <w:t>1/17/18: Original 85-page SOP issued to Oxy for 5 years.</w:t>
            </w:r>
            <w:r w:rsidR="00E007BB">
              <w:t xml:space="preserve"> </w:t>
            </w:r>
          </w:p>
          <w:p w14:paraId="43FEFCC3" w14:textId="25CF321E" w:rsidR="00567044" w:rsidRDefault="00567044" w:rsidP="002D169E">
            <w:pPr>
              <w:tabs>
                <w:tab w:val="left" w:pos="5790"/>
              </w:tabs>
            </w:pPr>
            <w:r>
              <w:t>1/21/21: 107-page streamlined revised SOP issued to Moda.</w:t>
            </w:r>
          </w:p>
          <w:p w14:paraId="283395FD" w14:textId="77777777" w:rsidR="00567044" w:rsidRDefault="00567044" w:rsidP="002D169E">
            <w:r>
              <w:t>6/8/23: 132-page Draft SOP renewal issued to Enbridge.</w:t>
            </w:r>
          </w:p>
        </w:tc>
      </w:tr>
      <w:tr w:rsidR="00567044" w14:paraId="7B2B9AA3" w14:textId="77777777" w:rsidTr="00F74BF9">
        <w:tc>
          <w:tcPr>
            <w:tcW w:w="1615" w:type="dxa"/>
          </w:tcPr>
          <w:p w14:paraId="40C1FA5F" w14:textId="77777777" w:rsidR="00567044" w:rsidRDefault="00567044" w:rsidP="00F74BF9">
            <w:r>
              <w:t>Can I submit comments in writing?</w:t>
            </w:r>
          </w:p>
        </w:tc>
        <w:tc>
          <w:tcPr>
            <w:tcW w:w="9288" w:type="dxa"/>
          </w:tcPr>
          <w:p w14:paraId="6CAED2EB" w14:textId="77777777" w:rsidR="00567044" w:rsidRDefault="00567044" w:rsidP="00F74BF9">
            <w:r>
              <w:t>Yes, but they must be submitted before the end of the Jan. 11</w:t>
            </w:r>
            <w:r w:rsidRPr="0093526F">
              <w:rPr>
                <w:vertAlign w:val="superscript"/>
              </w:rPr>
              <w:t>th</w:t>
            </w:r>
            <w:r>
              <w:t xml:space="preserve"> hearing.</w:t>
            </w:r>
          </w:p>
          <w:p w14:paraId="09DE7B5C" w14:textId="77777777" w:rsidR="00567044" w:rsidRDefault="00567044" w:rsidP="00F74BF9">
            <w:r>
              <w:t>Written comments can be fairly long. You can also upload photos, images, and maps.</w:t>
            </w:r>
          </w:p>
          <w:p w14:paraId="372F20CF" w14:textId="77777777" w:rsidR="00567044" w:rsidRDefault="00567044" w:rsidP="00F74BF9">
            <w:r>
              <w:t xml:space="preserve">Go to </w:t>
            </w:r>
            <w:hyperlink r:id="rId8" w:history="1">
              <w:r w:rsidRPr="006743A0">
                <w:rPr>
                  <w:rStyle w:val="Hyperlink"/>
                </w:rPr>
                <w:t>https://www14.tceq.texas.gov/epic/eComment/</w:t>
              </w:r>
            </w:hyperlink>
            <w:r>
              <w:t xml:space="preserve">, enter Permit </w:t>
            </w:r>
            <w:r w:rsidRPr="00684996">
              <w:rPr>
                <w:b/>
                <w:bCs/>
              </w:rPr>
              <w:t>3906</w:t>
            </w:r>
            <w:r>
              <w:t>, and complete the form.</w:t>
            </w:r>
          </w:p>
          <w:p w14:paraId="260A7B5E" w14:textId="77777777" w:rsidR="00567044" w:rsidRDefault="00567044" w:rsidP="00F74BF9">
            <w:r>
              <w:t>Even if you submit comments on line, PLEASE attend the hearing in person and speak up!</w:t>
            </w:r>
          </w:p>
        </w:tc>
      </w:tr>
      <w:tr w:rsidR="00567044" w14:paraId="6EF4B79D" w14:textId="77777777" w:rsidTr="00027452">
        <w:tc>
          <w:tcPr>
            <w:tcW w:w="1615" w:type="dxa"/>
          </w:tcPr>
          <w:p w14:paraId="4376D0C2" w14:textId="77777777" w:rsidR="00567044" w:rsidRDefault="00567044" w:rsidP="00027452">
            <w:r>
              <w:t>What happens after the hearing?</w:t>
            </w:r>
          </w:p>
        </w:tc>
        <w:tc>
          <w:tcPr>
            <w:tcW w:w="9288" w:type="dxa"/>
          </w:tcPr>
          <w:p w14:paraId="40336CF5" w14:textId="77777777" w:rsidR="00567044" w:rsidRDefault="00567044" w:rsidP="00027452">
            <w:pPr>
              <w:pStyle w:val="ListParagraph"/>
              <w:numPr>
                <w:ilvl w:val="0"/>
                <w:numId w:val="12"/>
              </w:numPr>
            </w:pPr>
            <w:r>
              <w:t xml:space="preserve">TCEQ Executive Director will craft a written “Response </w:t>
            </w:r>
            <w:proofErr w:type="gramStart"/>
            <w:r>
              <w:t>To</w:t>
            </w:r>
            <w:proofErr w:type="gramEnd"/>
            <w:r>
              <w:t xml:space="preserve"> Comments” (RTC) made in the hearing. </w:t>
            </w:r>
          </w:p>
          <w:p w14:paraId="0FE7BB9D" w14:textId="77777777" w:rsidR="00567044" w:rsidRDefault="00567044" w:rsidP="00027452">
            <w:pPr>
              <w:pStyle w:val="ListParagraph"/>
              <w:numPr>
                <w:ilvl w:val="0"/>
                <w:numId w:val="12"/>
              </w:numPr>
            </w:pPr>
            <w:r>
              <w:t xml:space="preserve">TCEQ </w:t>
            </w:r>
            <w:r w:rsidRPr="006B0AD0">
              <w:rPr>
                <w:i/>
                <w:iCs/>
              </w:rPr>
              <w:t>may</w:t>
            </w:r>
            <w:r>
              <w:t xml:space="preserve"> identify changes to FOP and Special Conditions, but will likely still renew the permit. </w:t>
            </w:r>
          </w:p>
          <w:p w14:paraId="481529E3" w14:textId="77777777" w:rsidR="00567044" w:rsidRDefault="00567044" w:rsidP="00027452">
            <w:pPr>
              <w:pStyle w:val="ListParagraph"/>
              <w:numPr>
                <w:ilvl w:val="0"/>
                <w:numId w:val="12"/>
              </w:numPr>
            </w:pPr>
            <w:r>
              <w:t>EPA will review the RTC and oversee issuance of final (hopefully strengthened) permit.</w:t>
            </w:r>
          </w:p>
        </w:tc>
      </w:tr>
      <w:tr w:rsidR="00E007BB" w14:paraId="79ACA1F7" w14:textId="77777777" w:rsidTr="009C3727">
        <w:tc>
          <w:tcPr>
            <w:tcW w:w="1615" w:type="dxa"/>
          </w:tcPr>
          <w:p w14:paraId="4FF10938" w14:textId="2DA16015" w:rsidR="00E007BB" w:rsidRDefault="00E007BB" w:rsidP="009C3727">
            <w:r>
              <w:lastRenderedPageBreak/>
              <w:t>What is the big problem with this FOP?</w:t>
            </w:r>
          </w:p>
        </w:tc>
        <w:tc>
          <w:tcPr>
            <w:tcW w:w="9288" w:type="dxa"/>
          </w:tcPr>
          <w:p w14:paraId="6CFB76F8" w14:textId="327DB2EA" w:rsidR="00E007BB" w:rsidRDefault="00F91FB1" w:rsidP="009C3727">
            <w:r>
              <w:t>From 2012 (when Oxy bought it) u</w:t>
            </w:r>
            <w:r w:rsidR="00E007BB">
              <w:t xml:space="preserve">ntil 7/15/22, the entire former Naval Station Ingleside property was considered to be a </w:t>
            </w:r>
            <w:r w:rsidR="00E007BB" w:rsidRPr="00D1252E">
              <w:rPr>
                <w:b/>
                <w:bCs/>
              </w:rPr>
              <w:t>single site</w:t>
            </w:r>
            <w:r w:rsidR="00E007BB">
              <w:t xml:space="preserve"> under SIC 5171: Petroleum Bulk Stations and Terminals). </w:t>
            </w:r>
          </w:p>
          <w:p w14:paraId="060FE8D4" w14:textId="77777777" w:rsidR="00E007BB" w:rsidRDefault="00E007BB" w:rsidP="009C3727">
            <w:r>
              <w:t xml:space="preserve">After considerable back and forth, Enbridge finally convinced TCEQ to split the site into </w:t>
            </w:r>
            <w:r w:rsidRPr="00D1252E">
              <w:rPr>
                <w:b/>
                <w:bCs/>
              </w:rPr>
              <w:t>two sites</w:t>
            </w:r>
            <w:r>
              <w:t>:</w:t>
            </w:r>
          </w:p>
          <w:p w14:paraId="2B63D3AD" w14:textId="77777777" w:rsidR="00E007BB" w:rsidRPr="00D1252E" w:rsidRDefault="00E007BB" w:rsidP="009C3727">
            <w:pPr>
              <w:pStyle w:val="ListParagraph"/>
              <w:numPr>
                <w:ilvl w:val="0"/>
                <w:numId w:val="6"/>
              </w:numPr>
              <w:autoSpaceDE w:val="0"/>
              <w:autoSpaceDN w:val="0"/>
              <w:adjustRightInd w:val="0"/>
              <w:rPr>
                <w:rFonts w:ascii="Calibri" w:hAnsi="Calibri" w:cs="Calibri"/>
                <w:kern w:val="0"/>
              </w:rPr>
            </w:pPr>
            <w:r>
              <w:rPr>
                <w:rFonts w:ascii="Calibri" w:hAnsi="Calibri" w:cs="Calibri"/>
                <w:kern w:val="0"/>
              </w:rPr>
              <w:t xml:space="preserve">SIC </w:t>
            </w:r>
            <w:r w:rsidRPr="00852803">
              <w:rPr>
                <w:rFonts w:ascii="Calibri" w:hAnsi="Calibri" w:cs="Calibri"/>
                <w:kern w:val="0"/>
              </w:rPr>
              <w:t>4226</w:t>
            </w:r>
            <w:r>
              <w:rPr>
                <w:rFonts w:ascii="Calibri" w:hAnsi="Calibri" w:cs="Calibri"/>
                <w:kern w:val="0"/>
              </w:rPr>
              <w:t xml:space="preserve"> for crude oil: </w:t>
            </w:r>
            <w:r w:rsidRPr="00203AA6">
              <w:rPr>
                <w:rFonts w:ascii="Calibri-Bold" w:hAnsi="Calibri-Bold" w:cs="Calibri-Bold"/>
                <w:b/>
                <w:bCs/>
                <w:kern w:val="0"/>
              </w:rPr>
              <w:t>primarily</w:t>
            </w:r>
            <w:r w:rsidRPr="00D1252E">
              <w:rPr>
                <w:rFonts w:ascii="Calibri-Bold" w:hAnsi="Calibri-Bold" w:cs="Calibri-Bold"/>
                <w:kern w:val="0"/>
              </w:rPr>
              <w:t xml:space="preserve"> </w:t>
            </w:r>
            <w:r w:rsidRPr="00D1252E">
              <w:rPr>
                <w:rFonts w:ascii="Calibri" w:hAnsi="Calibri" w:cs="Calibri"/>
                <w:kern w:val="0"/>
              </w:rPr>
              <w:t>engaged in warehousing and storage of special products not elsewhere classified</w:t>
            </w:r>
            <w:r>
              <w:rPr>
                <w:rFonts w:ascii="Calibri" w:hAnsi="Calibri" w:cs="Calibri"/>
                <w:kern w:val="0"/>
              </w:rPr>
              <w:t>,</w:t>
            </w:r>
            <w:r w:rsidRPr="00D1252E">
              <w:rPr>
                <w:rFonts w:ascii="Calibri" w:hAnsi="Calibri" w:cs="Calibri"/>
                <w:kern w:val="0"/>
              </w:rPr>
              <w:t xml:space="preserve"> </w:t>
            </w:r>
            <w:r>
              <w:rPr>
                <w:rFonts w:ascii="Calibri" w:hAnsi="Calibri" w:cs="Calibri"/>
                <w:kern w:val="0"/>
              </w:rPr>
              <w:t>including</w:t>
            </w:r>
            <w:r w:rsidRPr="00D1252E">
              <w:rPr>
                <w:rFonts w:ascii="Calibri" w:hAnsi="Calibri" w:cs="Calibri"/>
                <w:kern w:val="0"/>
              </w:rPr>
              <w:t xml:space="preserve"> </w:t>
            </w:r>
            <w:r w:rsidRPr="00203AA6">
              <w:rPr>
                <w:rFonts w:ascii="Calibri" w:hAnsi="Calibri" w:cs="Calibri"/>
                <w:b/>
                <w:bCs/>
                <w:kern w:val="0"/>
              </w:rPr>
              <w:t>petroleum and chemical</w:t>
            </w:r>
            <w:r w:rsidRPr="00D1252E">
              <w:rPr>
                <w:rFonts w:ascii="Calibri" w:hAnsi="Calibri" w:cs="Calibri"/>
                <w:kern w:val="0"/>
              </w:rPr>
              <w:t xml:space="preserve"> bulk stations </w:t>
            </w:r>
            <w:r>
              <w:rPr>
                <w:rFonts w:ascii="Calibri" w:hAnsi="Calibri" w:cs="Calibri"/>
                <w:kern w:val="0"/>
              </w:rPr>
              <w:t>&amp;</w:t>
            </w:r>
            <w:r w:rsidRPr="00D1252E">
              <w:rPr>
                <w:rFonts w:ascii="Calibri" w:hAnsi="Calibri" w:cs="Calibri"/>
                <w:kern w:val="0"/>
              </w:rPr>
              <w:t xml:space="preserve"> terminals for hire</w:t>
            </w:r>
          </w:p>
          <w:p w14:paraId="2FBC5257" w14:textId="77777777" w:rsidR="00E007BB" w:rsidRDefault="00E007BB" w:rsidP="009C3727">
            <w:pPr>
              <w:pStyle w:val="ListParagraph"/>
              <w:numPr>
                <w:ilvl w:val="0"/>
                <w:numId w:val="6"/>
              </w:numPr>
              <w:autoSpaceDE w:val="0"/>
              <w:autoSpaceDN w:val="0"/>
              <w:adjustRightInd w:val="0"/>
              <w:rPr>
                <w:rFonts w:ascii="Calibri" w:hAnsi="Calibri" w:cs="Calibri"/>
                <w:kern w:val="0"/>
              </w:rPr>
            </w:pPr>
            <w:r>
              <w:rPr>
                <w:rFonts w:ascii="Calibri" w:hAnsi="Calibri" w:cs="Calibri"/>
                <w:kern w:val="0"/>
              </w:rPr>
              <w:t xml:space="preserve">SIC 4925 for LPG: engaged in </w:t>
            </w:r>
            <w:r w:rsidRPr="006733B5">
              <w:rPr>
                <w:rFonts w:ascii="Calibri" w:hAnsi="Calibri" w:cs="Calibri"/>
                <w:kern w:val="0"/>
              </w:rPr>
              <w:t>manufacture and/or distribution of gas for sale, including mixtures of manufactured with natural gas</w:t>
            </w:r>
          </w:p>
          <w:p w14:paraId="66AF99D0" w14:textId="30102D76" w:rsidR="00E007BB" w:rsidRPr="007B4F1B" w:rsidRDefault="00E007BB" w:rsidP="009C3727">
            <w:pPr>
              <w:autoSpaceDE w:val="0"/>
              <w:autoSpaceDN w:val="0"/>
              <w:adjustRightInd w:val="0"/>
              <w:rPr>
                <w:rFonts w:ascii="Calibri" w:hAnsi="Calibri" w:cs="Calibri"/>
                <w:b/>
                <w:bCs/>
                <w:kern w:val="0"/>
              </w:rPr>
            </w:pPr>
            <w:r w:rsidRPr="007B4F1B">
              <w:rPr>
                <w:rFonts w:ascii="Calibri" w:hAnsi="Calibri" w:cs="Calibri"/>
                <w:b/>
                <w:bCs/>
                <w:kern w:val="0"/>
              </w:rPr>
              <w:t xml:space="preserve">Enbridge </w:t>
            </w:r>
            <w:r>
              <w:rPr>
                <w:rFonts w:ascii="Calibri" w:hAnsi="Calibri" w:cs="Calibri"/>
                <w:b/>
                <w:bCs/>
                <w:kern w:val="0"/>
              </w:rPr>
              <w:t>must be treated as</w:t>
            </w:r>
            <w:r w:rsidRPr="007B4F1B">
              <w:rPr>
                <w:rFonts w:ascii="Calibri" w:hAnsi="Calibri" w:cs="Calibri"/>
                <w:b/>
                <w:bCs/>
                <w:kern w:val="0"/>
              </w:rPr>
              <w:t xml:space="preserve"> a single site, encompassing all the former Navy property that it owns, under SIC 4226.</w:t>
            </w:r>
            <w:r>
              <w:rPr>
                <w:rFonts w:ascii="Calibri" w:hAnsi="Calibri" w:cs="Calibri"/>
                <w:b/>
                <w:bCs/>
                <w:kern w:val="0"/>
              </w:rPr>
              <w:t xml:space="preserve"> That way, all their emissions will be considered together.</w:t>
            </w:r>
          </w:p>
        </w:tc>
      </w:tr>
      <w:tr w:rsidR="00F91FB1" w14:paraId="0D82CDA7" w14:textId="77777777" w:rsidTr="00A02BF8">
        <w:tc>
          <w:tcPr>
            <w:tcW w:w="1615" w:type="dxa"/>
          </w:tcPr>
          <w:p w14:paraId="2B5952CB" w14:textId="77777777" w:rsidR="00F91FB1" w:rsidRDefault="00F91FB1" w:rsidP="00A02BF8">
            <w:r>
              <w:t>Why is TCEQ’s splitting Enbridge into two sites bad?</w:t>
            </w:r>
          </w:p>
        </w:tc>
        <w:tc>
          <w:tcPr>
            <w:tcW w:w="9288" w:type="dxa"/>
          </w:tcPr>
          <w:p w14:paraId="1CCA0732" w14:textId="77777777" w:rsidR="00F91FB1" w:rsidRDefault="00F91FB1" w:rsidP="00A02BF8">
            <w:r>
              <w:t xml:space="preserve">A recent </w:t>
            </w:r>
            <w:hyperlink r:id="rId9" w:history="1">
              <w:r w:rsidRPr="00AD164F">
                <w:rPr>
                  <w:rStyle w:val="Hyperlink"/>
                </w:rPr>
                <w:t>article from Inside Climate News</w:t>
              </w:r>
            </w:hyperlink>
            <w:r>
              <w:t xml:space="preserve"> (in a series on TCEQ) points out Enbridge is dividing into separate sites to keep under emissions thresholds and avoid Clean Air Act requirements for p</w:t>
            </w:r>
            <w:r w:rsidRPr="000C7FE8">
              <w:t xml:space="preserve">ollution control technology, air modeling, impact analysis </w:t>
            </w:r>
            <w:r>
              <w:t>&amp;</w:t>
            </w:r>
            <w:r w:rsidRPr="000C7FE8">
              <w:t xml:space="preserve"> public involvement</w:t>
            </w:r>
            <w:r>
              <w:t xml:space="preserve">. </w:t>
            </w:r>
            <w:r w:rsidRPr="003F3ABF">
              <w:rPr>
                <w:b/>
                <w:bCs/>
              </w:rPr>
              <w:t>TCEQ does not add emissions from different “sites” together to assess cumulative impacts on nearby communities.</w:t>
            </w:r>
            <w:r>
              <w:t xml:space="preserve"> </w:t>
            </w:r>
          </w:p>
        </w:tc>
      </w:tr>
      <w:tr w:rsidR="00F91FB1" w14:paraId="279AD82F" w14:textId="77777777" w:rsidTr="006927BE">
        <w:tc>
          <w:tcPr>
            <w:tcW w:w="1615" w:type="dxa"/>
          </w:tcPr>
          <w:p w14:paraId="799043C2" w14:textId="77777777" w:rsidR="00F91FB1" w:rsidRDefault="00F91FB1" w:rsidP="006927BE">
            <w:r>
              <w:t>How does this relate to the Ammonia Plant?</w:t>
            </w:r>
          </w:p>
        </w:tc>
        <w:tc>
          <w:tcPr>
            <w:tcW w:w="9288" w:type="dxa"/>
          </w:tcPr>
          <w:p w14:paraId="2E846170" w14:textId="0F83C1C7" w:rsidR="00F91FB1" w:rsidRDefault="00F91FB1" w:rsidP="006927BE">
            <w:r>
              <w:t xml:space="preserve">If Enbridge gets away with splitting the single property into two sites on this FOP, it will continue </w:t>
            </w:r>
            <w:r w:rsidR="008923C9">
              <w:t xml:space="preserve">splitting </w:t>
            </w:r>
            <w:r>
              <w:t xml:space="preserve">the former Navy base property </w:t>
            </w:r>
            <w:r w:rsidR="008923C9">
              <w:t>into</w:t>
            </w:r>
            <w:r>
              <w:t xml:space="preserve"> multiple sites</w:t>
            </w:r>
            <w:r w:rsidR="008923C9">
              <w:t xml:space="preserve"> for other products, like ammonia. This </w:t>
            </w:r>
            <w:r>
              <w:t>obscure</w:t>
            </w:r>
            <w:r w:rsidR="008923C9">
              <w:t>s</w:t>
            </w:r>
            <w:r>
              <w:t xml:space="preserve"> the </w:t>
            </w:r>
            <w:r w:rsidR="008923C9">
              <w:t xml:space="preserve">total </w:t>
            </w:r>
            <w:r>
              <w:t xml:space="preserve">amount </w:t>
            </w:r>
            <w:r w:rsidR="008923C9">
              <w:t>of</w:t>
            </w:r>
            <w:r>
              <w:t xml:space="preserve"> emissions impacting IOB and surrounding communities. </w:t>
            </w:r>
            <w:r w:rsidR="008923C9">
              <w:t>Where will it end? If</w:t>
            </w:r>
            <w:r>
              <w:t xml:space="preserve"> </w:t>
            </w:r>
            <w:r w:rsidR="008923C9">
              <w:t>this FOP</w:t>
            </w:r>
            <w:r>
              <w:t xml:space="preserve"> is approved</w:t>
            </w:r>
            <w:r w:rsidR="008923C9">
              <w:t xml:space="preserve"> as is</w:t>
            </w:r>
            <w:r>
              <w:t xml:space="preserve">, Enbridge won’t even have to mention that it has any connection to the ammonia plant! </w:t>
            </w:r>
            <w:r>
              <w:rPr>
                <w:b/>
                <w:bCs/>
              </w:rPr>
              <w:t>Express concern &amp; outrage that</w:t>
            </w:r>
            <w:r w:rsidRPr="007B4F1B">
              <w:rPr>
                <w:b/>
                <w:bCs/>
              </w:rPr>
              <w:t xml:space="preserve"> future </w:t>
            </w:r>
            <w:r>
              <w:rPr>
                <w:b/>
                <w:bCs/>
              </w:rPr>
              <w:t>emissions from</w:t>
            </w:r>
            <w:r w:rsidRPr="007B4F1B">
              <w:rPr>
                <w:b/>
                <w:bCs/>
              </w:rPr>
              <w:t xml:space="preserve"> Enbridge, such as its current plans for ammonia and hydrogen, will not be </w:t>
            </w:r>
            <w:r>
              <w:rPr>
                <w:b/>
                <w:bCs/>
              </w:rPr>
              <w:t>considered</w:t>
            </w:r>
            <w:r w:rsidRPr="007B4F1B">
              <w:rPr>
                <w:b/>
                <w:bCs/>
              </w:rPr>
              <w:t xml:space="preserve"> </w:t>
            </w:r>
            <w:r>
              <w:rPr>
                <w:b/>
                <w:bCs/>
              </w:rPr>
              <w:t xml:space="preserve">as part of </w:t>
            </w:r>
            <w:r w:rsidRPr="007B4F1B">
              <w:rPr>
                <w:b/>
                <w:bCs/>
              </w:rPr>
              <w:t>this FOP.</w:t>
            </w:r>
          </w:p>
        </w:tc>
      </w:tr>
      <w:tr w:rsidR="00F91FB1" w14:paraId="7EFEC1A5" w14:textId="77777777" w:rsidTr="00A81DBD">
        <w:tc>
          <w:tcPr>
            <w:tcW w:w="1615" w:type="dxa"/>
          </w:tcPr>
          <w:p w14:paraId="6A5DB6FD" w14:textId="77777777" w:rsidR="00F91FB1" w:rsidRDefault="00F91FB1" w:rsidP="00A81DBD">
            <w:r>
              <w:t>What do lawyers &amp; experts say?</w:t>
            </w:r>
          </w:p>
        </w:tc>
        <w:tc>
          <w:tcPr>
            <w:tcW w:w="9288" w:type="dxa"/>
          </w:tcPr>
          <w:p w14:paraId="2841FED3" w14:textId="77777777" w:rsidR="00F91FB1" w:rsidRDefault="00F91FB1" w:rsidP="00A81DBD">
            <w:r>
              <w:t>Let us know if you would like more info to speak intelligently at the Hearing on any of the following:</w:t>
            </w:r>
          </w:p>
          <w:p w14:paraId="06D9A23F" w14:textId="77777777" w:rsidR="00F91FB1" w:rsidRDefault="00F91FB1" w:rsidP="00A81DBD">
            <w:pPr>
              <w:pStyle w:val="ListParagraph"/>
              <w:numPr>
                <w:ilvl w:val="0"/>
                <w:numId w:val="17"/>
              </w:numPr>
            </w:pPr>
            <w:r>
              <w:t xml:space="preserve">Splitting Permits into two sites is sham permitting: Enbridge Terminal is a Single Stationary New Source &amp; a Single Major Source of Pollution </w:t>
            </w:r>
          </w:p>
          <w:p w14:paraId="66320A33" w14:textId="77777777" w:rsidR="00F91FB1" w:rsidRDefault="00F91FB1" w:rsidP="00A81DBD">
            <w:pPr>
              <w:pStyle w:val="ListParagraph"/>
              <w:numPr>
                <w:ilvl w:val="0"/>
                <w:numId w:val="17"/>
              </w:numPr>
            </w:pPr>
            <w:r>
              <w:t>Enbridge has Hundreds of Environmental Citations, yet has a perfect TCEQ Compliance Rating</w:t>
            </w:r>
          </w:p>
          <w:p w14:paraId="28BE3306" w14:textId="77777777" w:rsidR="00F91FB1" w:rsidRDefault="00F91FB1" w:rsidP="00A81DBD">
            <w:pPr>
              <w:pStyle w:val="ListParagraph"/>
              <w:numPr>
                <w:ilvl w:val="0"/>
                <w:numId w:val="17"/>
              </w:numPr>
            </w:pPr>
            <w:r>
              <w:t>Lax oversight of Enbridge by TCEQ has failed to minimize emissions impacting IOB</w:t>
            </w:r>
          </w:p>
          <w:p w14:paraId="23B8479F" w14:textId="77777777" w:rsidR="00F91FB1" w:rsidRDefault="00F91FB1" w:rsidP="00A81DBD">
            <w:pPr>
              <w:pStyle w:val="ListParagraph"/>
              <w:numPr>
                <w:ilvl w:val="0"/>
                <w:numId w:val="17"/>
              </w:numPr>
            </w:pPr>
            <w:r>
              <w:t xml:space="preserve">The permit fails to assure compliance with LPG requirements </w:t>
            </w:r>
          </w:p>
          <w:p w14:paraId="6FA05B73" w14:textId="77777777" w:rsidR="00F91FB1" w:rsidRDefault="00F91FB1" w:rsidP="00A81DBD">
            <w:pPr>
              <w:pStyle w:val="ListParagraph"/>
              <w:numPr>
                <w:ilvl w:val="0"/>
                <w:numId w:val="17"/>
              </w:numPr>
            </w:pPr>
            <w:r>
              <w:t>Emissions from blasting &amp; coating operations occurred for 5 years without authorization</w:t>
            </w:r>
          </w:p>
          <w:p w14:paraId="75E14FEC" w14:textId="77777777" w:rsidR="00F91FB1" w:rsidRDefault="00F91FB1" w:rsidP="00A81DBD">
            <w:pPr>
              <w:pStyle w:val="ListParagraph"/>
              <w:numPr>
                <w:ilvl w:val="0"/>
                <w:numId w:val="17"/>
              </w:numPr>
            </w:pPr>
            <w:r>
              <w:t>The permit fails to include monitoring, testing, recordkeeping, and reporting requirements for marine loading VOC emissions – which can be seen and smelled in IOB</w:t>
            </w:r>
          </w:p>
          <w:p w14:paraId="5FC40865" w14:textId="77777777" w:rsidR="00F91FB1" w:rsidRDefault="00F91FB1" w:rsidP="00A81DBD">
            <w:pPr>
              <w:pStyle w:val="ListParagraph"/>
              <w:numPr>
                <w:ilvl w:val="0"/>
                <w:numId w:val="17"/>
              </w:numPr>
            </w:pPr>
            <w:r>
              <w:t>Some testing methods aren’t shared and some data in Special Conditions are confidential, making it impossible for IOB to know when Enbridge is out of compliance with Clean Air Act</w:t>
            </w:r>
          </w:p>
          <w:p w14:paraId="7E82E7AD" w14:textId="77777777" w:rsidR="00F91FB1" w:rsidRDefault="00F91FB1" w:rsidP="00A81DBD">
            <w:pPr>
              <w:pStyle w:val="ListParagraph"/>
              <w:numPr>
                <w:ilvl w:val="0"/>
                <w:numId w:val="17"/>
              </w:numPr>
            </w:pPr>
            <w:r>
              <w:t xml:space="preserve">Enbridge should use Best Available Control Technology, such as video imaging </w:t>
            </w:r>
            <w:proofErr w:type="spellStart"/>
            <w:r>
              <w:t>spectro</w:t>
            </w:r>
            <w:proofErr w:type="spellEnd"/>
            <w:r>
              <w:t xml:space="preserve">-radiometry to continuously measure their claims of 99.99% combustion efficiency </w:t>
            </w:r>
          </w:p>
        </w:tc>
      </w:tr>
      <w:tr w:rsidR="00AB5BB3" w14:paraId="7AA87F39" w14:textId="77777777" w:rsidTr="002F4466">
        <w:tc>
          <w:tcPr>
            <w:tcW w:w="1615" w:type="dxa"/>
          </w:tcPr>
          <w:p w14:paraId="0B9F3DDD" w14:textId="1356C078" w:rsidR="00AB5BB3" w:rsidRDefault="00AB5BB3" w:rsidP="002F4466">
            <w:r>
              <w:t>What are some other talking points?</w:t>
            </w:r>
          </w:p>
        </w:tc>
        <w:tc>
          <w:tcPr>
            <w:tcW w:w="9288" w:type="dxa"/>
          </w:tcPr>
          <w:p w14:paraId="621350E9" w14:textId="4BC1F64B" w:rsidR="007D5D80" w:rsidRDefault="007D5D80" w:rsidP="007D5D80">
            <w:pPr>
              <w:pStyle w:val="ListParagraph"/>
              <w:numPr>
                <w:ilvl w:val="0"/>
                <w:numId w:val="15"/>
              </w:numPr>
            </w:pPr>
            <w:r>
              <w:t xml:space="preserve">IOBCWA has requested, but not been granted, a public hearing and Contested Case Hearing for Permit 122362. Since those emissions should be part of this FOP, when can we expect those? </w:t>
            </w:r>
          </w:p>
          <w:p w14:paraId="2F1F48B2" w14:textId="24E9FCFB" w:rsidR="007D5D80" w:rsidRDefault="007D5D80" w:rsidP="007D5D80">
            <w:pPr>
              <w:pStyle w:val="ListParagraph"/>
              <w:numPr>
                <w:ilvl w:val="0"/>
                <w:numId w:val="15"/>
              </w:numPr>
            </w:pPr>
            <w:r>
              <w:t>Despite numerous requests, TCEQ has not met with IOBCWA to discuss numerous Optical Gas Imaging (OGI) videos of fugitive emissions taken in 2021 &amp; 2022 and the resulting investigations</w:t>
            </w:r>
          </w:p>
          <w:p w14:paraId="6509E3B8" w14:textId="4F21E321" w:rsidR="00BA2C19" w:rsidRDefault="00AB5BB3" w:rsidP="007D5D80">
            <w:pPr>
              <w:pStyle w:val="ListParagraph"/>
              <w:numPr>
                <w:ilvl w:val="0"/>
                <w:numId w:val="15"/>
              </w:numPr>
            </w:pPr>
            <w:r>
              <w:t xml:space="preserve">When Oxy bought the property from the Port of Corpus Christi, they made some representations </w:t>
            </w:r>
            <w:r w:rsidR="00BA2C19">
              <w:t xml:space="preserve">to City of Ingleside </w:t>
            </w:r>
            <w:r>
              <w:t>about having a “significant buffer” between it and IOB. Enbridge has since</w:t>
            </w:r>
            <w:r w:rsidR="00BA2C19">
              <w:t>:</w:t>
            </w:r>
          </w:p>
          <w:p w14:paraId="2E275788" w14:textId="22469BF6" w:rsidR="00BA2C19" w:rsidRDefault="00AB5BB3" w:rsidP="007D5D80">
            <w:pPr>
              <w:pStyle w:val="ListParagraph"/>
              <w:numPr>
                <w:ilvl w:val="1"/>
                <w:numId w:val="15"/>
              </w:numPr>
            </w:pPr>
            <w:r>
              <w:t xml:space="preserve">tried to </w:t>
            </w:r>
            <w:r w:rsidR="00BA2C19">
              <w:t xml:space="preserve">get a tax abatement to </w:t>
            </w:r>
            <w:r>
              <w:t>put in a solar farm on the buffer</w:t>
            </w:r>
            <w:r w:rsidR="00BA2C19">
              <w:t xml:space="preserve"> so they can appear to be “net-zero” by selling power back to the grid – Ingleside ISD turned them down</w:t>
            </w:r>
          </w:p>
          <w:p w14:paraId="45391301" w14:textId="12212012" w:rsidR="00AB5BB3" w:rsidRDefault="00BA2C19" w:rsidP="007D5D80">
            <w:pPr>
              <w:pStyle w:val="ListParagraph"/>
              <w:numPr>
                <w:ilvl w:val="1"/>
                <w:numId w:val="15"/>
              </w:numPr>
            </w:pPr>
            <w:r>
              <w:t>has convinced the U.S. Army Corps</w:t>
            </w:r>
            <w:r w:rsidR="00AB5BB3">
              <w:t xml:space="preserve"> that </w:t>
            </w:r>
            <w:r>
              <w:t xml:space="preserve">they can use that </w:t>
            </w:r>
            <w:r w:rsidR="00AB5BB3">
              <w:t xml:space="preserve">buffer as mitigation </w:t>
            </w:r>
            <w:r>
              <w:t>for a U.S. Army Corps permit to build a new pier even closer to IOB</w:t>
            </w:r>
          </w:p>
          <w:p w14:paraId="0BAB96C0" w14:textId="77777777" w:rsidR="00BA2C19" w:rsidRDefault="00BA2C19" w:rsidP="007D5D80">
            <w:pPr>
              <w:pStyle w:val="ListParagraph"/>
              <w:numPr>
                <w:ilvl w:val="1"/>
                <w:numId w:val="15"/>
              </w:numPr>
            </w:pPr>
            <w:r>
              <w:t>started cutting down trees without a permit to build an ammonia production plant inside the original buffer, which is shown on Ingleside City Ordinance 1061.</w:t>
            </w:r>
          </w:p>
          <w:p w14:paraId="56148D42" w14:textId="56DC1592" w:rsidR="00BA2C19" w:rsidRDefault="00BA2C19" w:rsidP="007D5D80">
            <w:pPr>
              <w:pStyle w:val="ListParagraph"/>
              <w:numPr>
                <w:ilvl w:val="0"/>
                <w:numId w:val="15"/>
              </w:numPr>
            </w:pPr>
            <w:r>
              <w:t xml:space="preserve">Vessel accidents involving Enbridge, Flint Hills, &amp; Buckeye next to IOB </w:t>
            </w:r>
            <w:r w:rsidR="00567044">
              <w:t>show hazardous conditions</w:t>
            </w:r>
            <w:r>
              <w:t>:</w:t>
            </w:r>
          </w:p>
          <w:p w14:paraId="3743F95A" w14:textId="77777777" w:rsidR="00BA2C19" w:rsidRDefault="00BA2C19" w:rsidP="007D5D80">
            <w:pPr>
              <w:pStyle w:val="ListParagraph"/>
              <w:numPr>
                <w:ilvl w:val="1"/>
                <w:numId w:val="15"/>
              </w:numPr>
            </w:pPr>
            <w:r>
              <w:t>2021: a ship collided with the Moda pier, which juts way out into the water</w:t>
            </w:r>
          </w:p>
          <w:p w14:paraId="02E1F096" w14:textId="77777777" w:rsidR="00BA2C19" w:rsidRDefault="00BA2C19" w:rsidP="007D5D80">
            <w:pPr>
              <w:pStyle w:val="ListParagraph"/>
              <w:numPr>
                <w:ilvl w:val="1"/>
                <w:numId w:val="15"/>
              </w:numPr>
            </w:pPr>
            <w:r>
              <w:t xml:space="preserve">Christmas Eve 2022: Flint Hills had a </w:t>
            </w:r>
            <w:proofErr w:type="gramStart"/>
            <w:r>
              <w:t>14,000 gallon</w:t>
            </w:r>
            <w:proofErr w:type="gramEnd"/>
            <w:r>
              <w:t xml:space="preserve"> oil spill</w:t>
            </w:r>
          </w:p>
          <w:p w14:paraId="174EB08D" w14:textId="77777777" w:rsidR="00BA2C19" w:rsidRDefault="00BA2C19" w:rsidP="007D5D80">
            <w:pPr>
              <w:pStyle w:val="ListParagraph"/>
              <w:numPr>
                <w:ilvl w:val="1"/>
                <w:numId w:val="15"/>
              </w:numPr>
            </w:pPr>
            <w:r>
              <w:t>January 2023: A VLCC from Buckeye collided with a tugboat, which had to be grounded</w:t>
            </w:r>
          </w:p>
          <w:p w14:paraId="5EF76A09" w14:textId="77777777" w:rsidR="00684996" w:rsidRDefault="00684996" w:rsidP="007D5D80">
            <w:pPr>
              <w:pStyle w:val="ListParagraph"/>
              <w:numPr>
                <w:ilvl w:val="1"/>
                <w:numId w:val="15"/>
              </w:numPr>
            </w:pPr>
            <w:r>
              <w:t>August 2023: An Enbridge dredger capsized</w:t>
            </w:r>
          </w:p>
          <w:p w14:paraId="7714F92F" w14:textId="032250FF" w:rsidR="00D92BEC" w:rsidRDefault="00D92BEC" w:rsidP="00D92BEC">
            <w:pPr>
              <w:pStyle w:val="ListParagraph"/>
              <w:numPr>
                <w:ilvl w:val="0"/>
                <w:numId w:val="15"/>
              </w:numPr>
            </w:pPr>
            <w:r>
              <w:t>IOB needs to be formally protected with a significant buffer, as promised when Oxy moved in.</w:t>
            </w:r>
          </w:p>
        </w:tc>
      </w:tr>
    </w:tbl>
    <w:p w14:paraId="20B64071" w14:textId="77777777" w:rsidR="008923C9" w:rsidRDefault="008923C9">
      <w:pPr>
        <w:spacing w:after="160"/>
        <w:rPr>
          <w:b/>
          <w:bCs/>
        </w:rPr>
      </w:pPr>
      <w:r>
        <w:rPr>
          <w:b/>
          <w:bCs/>
        </w:rPr>
        <w:br w:type="page"/>
      </w:r>
    </w:p>
    <w:p w14:paraId="42131C7B" w14:textId="07B2A4D6" w:rsidR="00567044" w:rsidRPr="00567044" w:rsidRDefault="00521FDF" w:rsidP="00997E0E">
      <w:pPr>
        <w:rPr>
          <w:b/>
          <w:bCs/>
        </w:rPr>
      </w:pPr>
      <w:r>
        <w:rPr>
          <w:b/>
          <w:bCs/>
        </w:rPr>
        <w:lastRenderedPageBreak/>
        <w:t xml:space="preserve">Figure 1: </w:t>
      </w:r>
      <w:r w:rsidR="00567044" w:rsidRPr="00567044">
        <w:rPr>
          <w:b/>
          <w:bCs/>
        </w:rPr>
        <w:t xml:space="preserve">From </w:t>
      </w:r>
      <w:hyperlink r:id="rId10" w:history="1">
        <w:r w:rsidR="00567044" w:rsidRPr="00521FDF">
          <w:rPr>
            <w:rStyle w:val="Hyperlink"/>
            <w:b/>
            <w:bCs/>
          </w:rPr>
          <w:t>City of Ingleside Ordinance 1061</w:t>
        </w:r>
      </w:hyperlink>
      <w:r w:rsidR="008923C9" w:rsidRPr="0023113F">
        <w:rPr>
          <w:b/>
          <w:bCs/>
          <w:color w:val="FF0000"/>
        </w:rPr>
        <w:t xml:space="preserve"> </w:t>
      </w:r>
      <w:r w:rsidR="008923C9">
        <w:rPr>
          <w:b/>
          <w:bCs/>
        </w:rPr>
        <w:t>granting Objectionable Use &amp; showing IOB-Oxy Buffer</w:t>
      </w:r>
      <w:r w:rsidR="00567044" w:rsidRPr="00567044">
        <w:rPr>
          <w:b/>
          <w:bCs/>
        </w:rPr>
        <w:t>, passed 7/10/12</w:t>
      </w:r>
    </w:p>
    <w:p w14:paraId="71384647" w14:textId="6C1AC860" w:rsidR="008923C9" w:rsidRDefault="00567044" w:rsidP="00997E0E">
      <w:r w:rsidRPr="00567044">
        <w:rPr>
          <w:noProof/>
        </w:rPr>
        <w:drawing>
          <wp:inline distT="0" distB="0" distL="0" distR="0" wp14:anchorId="2088DE9C" wp14:editId="290B7B2F">
            <wp:extent cx="3459624" cy="4456745"/>
            <wp:effectExtent l="0" t="3175" r="4445" b="4445"/>
            <wp:docPr id="2060519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19213" name=""/>
                    <pic:cNvPicPr/>
                  </pic:nvPicPr>
                  <pic:blipFill>
                    <a:blip r:embed="rId11"/>
                    <a:stretch>
                      <a:fillRect/>
                    </a:stretch>
                  </pic:blipFill>
                  <pic:spPr>
                    <a:xfrm rot="5400000">
                      <a:off x="0" y="0"/>
                      <a:ext cx="3494443" cy="4501599"/>
                    </a:xfrm>
                    <a:prstGeom prst="rect">
                      <a:avLst/>
                    </a:prstGeom>
                  </pic:spPr>
                </pic:pic>
              </a:graphicData>
            </a:graphic>
          </wp:inline>
        </w:drawing>
      </w:r>
    </w:p>
    <w:p w14:paraId="5D4552FD" w14:textId="21821C20" w:rsidR="00567044" w:rsidRPr="00F20CD8" w:rsidRDefault="008923C9" w:rsidP="00997E0E">
      <w:pPr>
        <w:rPr>
          <w:color w:val="FF0000"/>
        </w:rPr>
      </w:pPr>
      <w:r w:rsidRPr="00521FDF">
        <w:rPr>
          <w:b/>
          <w:bCs/>
        </w:rPr>
        <w:t>Note</w:t>
      </w:r>
      <w:r>
        <w:t>: When Oxy bought the property</w:t>
      </w:r>
      <w:r w:rsidR="00F20CD8">
        <w:t xml:space="preserve"> in 2012</w:t>
      </w:r>
      <w:r>
        <w:t xml:space="preserve">, they promised there would always be a “significant buffer” between IOB and </w:t>
      </w:r>
      <w:r w:rsidR="00F20CD8">
        <w:t xml:space="preserve">the operational part of the plant, but it was never codified. </w:t>
      </w:r>
      <w:r w:rsidR="00F20CD8" w:rsidRPr="00F20CD8">
        <w:rPr>
          <w:b/>
          <w:bCs/>
          <w:color w:val="FF0000"/>
        </w:rPr>
        <w:t>Formalizing that buffer</w:t>
      </w:r>
      <w:r w:rsidR="00F20CD8">
        <w:rPr>
          <w:b/>
          <w:bCs/>
          <w:color w:val="FF0000"/>
        </w:rPr>
        <w:t xml:space="preserve"> between Starlight &amp; Live Oak Drives in IOB</w:t>
      </w:r>
      <w:r w:rsidR="00F20CD8" w:rsidRPr="00F20CD8">
        <w:rPr>
          <w:b/>
          <w:bCs/>
          <w:color w:val="FF0000"/>
        </w:rPr>
        <w:t xml:space="preserve">, as shown above, as a conservation easement could be ONE of the Special Conditions on THIS FOP. </w:t>
      </w:r>
    </w:p>
    <w:p w14:paraId="4EEEA61B" w14:textId="77777777" w:rsidR="008923C9" w:rsidRDefault="008923C9" w:rsidP="00997E0E"/>
    <w:p w14:paraId="03F633E4" w14:textId="7F2CB98E" w:rsidR="0023113F" w:rsidRPr="00567044" w:rsidRDefault="00521FDF" w:rsidP="0023113F">
      <w:pPr>
        <w:rPr>
          <w:b/>
          <w:bCs/>
        </w:rPr>
      </w:pPr>
      <w:r>
        <w:rPr>
          <w:b/>
          <w:bCs/>
        </w:rPr>
        <w:t xml:space="preserve">Figure 2: </w:t>
      </w:r>
      <w:hyperlink r:id="rId12" w:history="1">
        <w:r w:rsidR="0023113F" w:rsidRPr="00D92BEC">
          <w:rPr>
            <w:rStyle w:val="Hyperlink"/>
            <w:b/>
            <w:bCs/>
          </w:rPr>
          <w:t xml:space="preserve">City of Ingleside </w:t>
        </w:r>
        <w:r w:rsidR="0023113F" w:rsidRPr="00D92BEC">
          <w:rPr>
            <w:rStyle w:val="Hyperlink"/>
            <w:b/>
            <w:bCs/>
          </w:rPr>
          <w:t>Resolution 1075</w:t>
        </w:r>
      </w:hyperlink>
      <w:r w:rsidR="0023113F" w:rsidRPr="0023113F">
        <w:rPr>
          <w:b/>
          <w:bCs/>
          <w:color w:val="FF0000"/>
        </w:rPr>
        <w:t xml:space="preserve"> </w:t>
      </w:r>
      <w:r w:rsidR="0023113F">
        <w:rPr>
          <w:b/>
          <w:bCs/>
        </w:rPr>
        <w:t xml:space="preserve">shows existing </w:t>
      </w:r>
      <w:r w:rsidR="0023113F">
        <w:rPr>
          <w:b/>
          <w:bCs/>
        </w:rPr>
        <w:t>Objectionable Use</w:t>
      </w:r>
      <w:r w:rsidR="0023113F">
        <w:rPr>
          <w:b/>
          <w:bCs/>
        </w:rPr>
        <w:t xml:space="preserve"> FOR PETROLEUM</w:t>
      </w:r>
      <w:r w:rsidR="0023113F" w:rsidRPr="00567044">
        <w:rPr>
          <w:b/>
          <w:bCs/>
        </w:rPr>
        <w:t xml:space="preserve">, passed </w:t>
      </w:r>
      <w:r w:rsidR="0023113F">
        <w:rPr>
          <w:b/>
          <w:bCs/>
        </w:rPr>
        <w:t>11/13/13</w:t>
      </w:r>
    </w:p>
    <w:p w14:paraId="6A14F1E3" w14:textId="5330A3BF" w:rsidR="0023113F" w:rsidRDefault="0023113F" w:rsidP="00997E0E">
      <w:r w:rsidRPr="0023113F">
        <w:drawing>
          <wp:inline distT="0" distB="0" distL="0" distR="0" wp14:anchorId="0C06B33A" wp14:editId="2F8172C6">
            <wp:extent cx="4648200" cy="3559433"/>
            <wp:effectExtent l="0" t="0" r="0" b="3175"/>
            <wp:docPr id="182710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109039" name=""/>
                    <pic:cNvPicPr/>
                  </pic:nvPicPr>
                  <pic:blipFill>
                    <a:blip r:embed="rId13"/>
                    <a:stretch>
                      <a:fillRect/>
                    </a:stretch>
                  </pic:blipFill>
                  <pic:spPr>
                    <a:xfrm>
                      <a:off x="0" y="0"/>
                      <a:ext cx="4649625" cy="3560524"/>
                    </a:xfrm>
                    <a:prstGeom prst="rect">
                      <a:avLst/>
                    </a:prstGeom>
                  </pic:spPr>
                </pic:pic>
              </a:graphicData>
            </a:graphic>
          </wp:inline>
        </w:drawing>
      </w:r>
    </w:p>
    <w:p w14:paraId="35CDE2BD" w14:textId="0EC589E6" w:rsidR="0023113F" w:rsidRPr="00521FDF" w:rsidRDefault="0023113F" w:rsidP="00521FDF">
      <w:r w:rsidRPr="00521FDF">
        <w:rPr>
          <w:b/>
          <w:bCs/>
        </w:rPr>
        <w:t>Note</w:t>
      </w:r>
      <w:r>
        <w:t xml:space="preserve">: On 1/16/23, City of Ingleside will vote whether to allow objectionable uses for ammonia on the “Campus Area” and the 67.2 acres outlined. This will create a corridor from the ammonia plant to the water. Enbridge </w:t>
      </w:r>
      <w:r w:rsidR="00521FDF">
        <w:t>says they have abandoned plans</w:t>
      </w:r>
      <w:r>
        <w:t xml:space="preserve"> to put a solar farm on the vacant land and McGloin’s Bluff historic </w:t>
      </w:r>
      <w:proofErr w:type="spellStart"/>
      <w:r>
        <w:t>Karankawan</w:t>
      </w:r>
      <w:proofErr w:type="spellEnd"/>
      <w:r>
        <w:t xml:space="preserve"> site.</w:t>
      </w:r>
      <w:r w:rsidR="00521FDF">
        <w:t xml:space="preserve"> They now plan to do something else – maybe worse!</w:t>
      </w:r>
      <w:r>
        <w:t xml:space="preserve"> IOBCWA</w:t>
      </w:r>
      <w:r w:rsidR="00521FDF">
        <w:t>, Indigenous Peoples of the Coastal Bend, and Karankawa Kadla have</w:t>
      </w:r>
      <w:r>
        <w:t xml:space="preserve"> just filed an Appeal in the </w:t>
      </w:r>
      <w:r w:rsidR="00521FDF">
        <w:t>U.S.</w:t>
      </w:r>
      <w:r>
        <w:t xml:space="preserve"> Fifth Circuit Court of Appeals to stop Enbridge from adding a second pier closer to IOB.</w:t>
      </w:r>
      <w:r>
        <w:rPr>
          <w:b/>
          <w:bCs/>
        </w:rPr>
        <w:br w:type="page"/>
      </w:r>
    </w:p>
    <w:p w14:paraId="0CA960AF" w14:textId="2EF2CCB0" w:rsidR="00CC1937" w:rsidRPr="003F3ABF" w:rsidRDefault="00521FDF" w:rsidP="00997E0E">
      <w:pPr>
        <w:rPr>
          <w:b/>
          <w:bCs/>
        </w:rPr>
      </w:pPr>
      <w:r>
        <w:rPr>
          <w:b/>
          <w:bCs/>
        </w:rPr>
        <w:lastRenderedPageBreak/>
        <w:t xml:space="preserve">Figure 3: </w:t>
      </w:r>
      <w:hyperlink r:id="rId14" w:history="1">
        <w:r w:rsidR="00CC1937" w:rsidRPr="00F20CD8">
          <w:rPr>
            <w:rStyle w:val="Hyperlink"/>
            <w:b/>
            <w:bCs/>
          </w:rPr>
          <w:t>Enbridge</w:t>
        </w:r>
        <w:r w:rsidR="003F3ABF" w:rsidRPr="00F20CD8">
          <w:rPr>
            <w:rStyle w:val="Hyperlink"/>
            <w:b/>
            <w:bCs/>
          </w:rPr>
          <w:t>’s</w:t>
        </w:r>
        <w:r w:rsidR="00CC1937" w:rsidRPr="00F20CD8">
          <w:rPr>
            <w:rStyle w:val="Hyperlink"/>
            <w:b/>
            <w:bCs/>
          </w:rPr>
          <w:t xml:space="preserve"> </w:t>
        </w:r>
        <w:r w:rsidR="003F3ABF" w:rsidRPr="00F20CD8">
          <w:rPr>
            <w:rStyle w:val="Hyperlink"/>
            <w:b/>
            <w:bCs/>
          </w:rPr>
          <w:t>Plan for the former Navy Base</w:t>
        </w:r>
      </w:hyperlink>
      <w:r w:rsidR="00CC1937" w:rsidRPr="003F3ABF">
        <w:rPr>
          <w:b/>
          <w:bCs/>
        </w:rPr>
        <w:t xml:space="preserve"> –3 Different TCEQ </w:t>
      </w:r>
      <w:r w:rsidR="003F3ABF" w:rsidRPr="003F3ABF">
        <w:rPr>
          <w:b/>
          <w:bCs/>
        </w:rPr>
        <w:t>Sites</w:t>
      </w:r>
      <w:r w:rsidR="008923C9">
        <w:rPr>
          <w:b/>
          <w:bCs/>
        </w:rPr>
        <w:t xml:space="preserve"> So Far!</w:t>
      </w:r>
      <w:r w:rsidR="00F20CD8">
        <w:rPr>
          <w:b/>
          <w:bCs/>
        </w:rPr>
        <w:t xml:space="preserve"> Where will it end?</w:t>
      </w:r>
    </w:p>
    <w:p w14:paraId="20AB6093" w14:textId="6DE25581" w:rsidR="00567044" w:rsidRDefault="00567044" w:rsidP="00997E0E">
      <w:r w:rsidRPr="00567044">
        <w:rPr>
          <w:noProof/>
        </w:rPr>
        <w:drawing>
          <wp:inline distT="0" distB="0" distL="0" distR="0" wp14:anchorId="1EF72B6E" wp14:editId="0A001376">
            <wp:extent cx="4400550" cy="3539590"/>
            <wp:effectExtent l="0" t="0" r="0" b="3810"/>
            <wp:docPr id="538551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51498" name=""/>
                    <pic:cNvPicPr/>
                  </pic:nvPicPr>
                  <pic:blipFill>
                    <a:blip r:embed="rId15"/>
                    <a:stretch>
                      <a:fillRect/>
                    </a:stretch>
                  </pic:blipFill>
                  <pic:spPr>
                    <a:xfrm>
                      <a:off x="0" y="0"/>
                      <a:ext cx="4401536" cy="3540383"/>
                    </a:xfrm>
                    <a:prstGeom prst="rect">
                      <a:avLst/>
                    </a:prstGeom>
                  </pic:spPr>
                </pic:pic>
              </a:graphicData>
            </a:graphic>
          </wp:inline>
        </w:drawing>
      </w:r>
    </w:p>
    <w:p w14:paraId="18C81D3D" w14:textId="59437E24" w:rsidR="00690D83" w:rsidRDefault="00690D83" w:rsidP="00997E0E">
      <w:r w:rsidRPr="00521FDF">
        <w:rPr>
          <w:b/>
          <w:bCs/>
        </w:rPr>
        <w:t>Note</w:t>
      </w:r>
      <w:r>
        <w:t xml:space="preserve">: The “Proposed Ammonia Pipeline Transport Area” and “Proposed Ammonia Storage Area” are what Enbridge wants the </w:t>
      </w:r>
      <w:hyperlink r:id="rId16" w:history="1">
        <w:r w:rsidRPr="00F20CD8">
          <w:rPr>
            <w:rStyle w:val="Hyperlink"/>
          </w:rPr>
          <w:t>City of Ingleside to grant as “Objecti</w:t>
        </w:r>
        <w:r w:rsidRPr="00F20CD8">
          <w:rPr>
            <w:rStyle w:val="Hyperlink"/>
          </w:rPr>
          <w:t>o</w:t>
        </w:r>
        <w:r w:rsidRPr="00F20CD8">
          <w:rPr>
            <w:rStyle w:val="Hyperlink"/>
          </w:rPr>
          <w:t>nable Use”</w:t>
        </w:r>
      </w:hyperlink>
      <w:r>
        <w:t xml:space="preserve"> on Jan. 16</w:t>
      </w:r>
      <w:r w:rsidRPr="00690D83">
        <w:rPr>
          <w:vertAlign w:val="superscript"/>
        </w:rPr>
        <w:t>th</w:t>
      </w:r>
      <w:r>
        <w:t xml:space="preserve"> at 6:30 pm at Humble Center.</w:t>
      </w:r>
      <w:r w:rsidR="00FB6281">
        <w:t xml:space="preserve"> </w:t>
      </w:r>
      <w:r w:rsidR="008923C9">
        <w:t xml:space="preserve">All sites share a single marine terminal. </w:t>
      </w:r>
      <w:r w:rsidR="00521FDF">
        <w:t xml:space="preserve">This is what we KNOW they want to do. What will they try to do in the undesignated areas closest to IOB? In the federal lawsuit, Enbridge is trying to mitigate the destruction of 10 acres of seagrass and wetlands for the second pier by putting a </w:t>
      </w:r>
      <w:proofErr w:type="gramStart"/>
      <w:r w:rsidR="00521FDF">
        <w:t>70 acre</w:t>
      </w:r>
      <w:proofErr w:type="gramEnd"/>
      <w:r w:rsidR="00521FDF">
        <w:t xml:space="preserve"> strip along the IOB border into conservation easement, as shown above. Records show that such a conservation easement was granted decades ago, but never carried out. </w:t>
      </w:r>
    </w:p>
    <w:p w14:paraId="7259C905" w14:textId="77777777" w:rsidR="00D92BEC" w:rsidRDefault="00D92BEC" w:rsidP="00997E0E"/>
    <w:p w14:paraId="2AB30C49" w14:textId="771F3DE6" w:rsidR="00D92BEC" w:rsidRPr="00D92BEC" w:rsidRDefault="00D92BEC" w:rsidP="00997E0E">
      <w:pPr>
        <w:rPr>
          <w:b/>
          <w:bCs/>
        </w:rPr>
      </w:pPr>
      <w:r>
        <w:rPr>
          <w:b/>
          <w:bCs/>
        </w:rPr>
        <w:t>Historical Development of the former Naval Station Ingleside Property</w:t>
      </w:r>
    </w:p>
    <w:p w14:paraId="208AB704" w14:textId="77777777" w:rsidR="004E0A3F" w:rsidRDefault="00D92BEC" w:rsidP="004E0A3F">
      <w:r>
        <w:t xml:space="preserve">In the interest of transparency, the </w:t>
      </w:r>
      <w:hyperlink r:id="rId17" w:history="1">
        <w:r w:rsidRPr="00D92BEC">
          <w:rPr>
            <w:rStyle w:val="Hyperlink"/>
          </w:rPr>
          <w:t>City of Ingleside has created a website</w:t>
        </w:r>
      </w:hyperlink>
      <w:r>
        <w:t xml:space="preserve"> for all the actions they have taken related to development of the </w:t>
      </w:r>
      <w:hyperlink r:id="rId18" w:history="1">
        <w:r w:rsidRPr="004E0A3F">
          <w:rPr>
            <w:rStyle w:val="Hyperlink"/>
          </w:rPr>
          <w:t>former Navy Base</w:t>
        </w:r>
      </w:hyperlink>
      <w:r>
        <w:t>, which was prematurely ordered closed by the 2005 Base Realignment and Closure (BRAC) Commission. The base was only open for 1</w:t>
      </w:r>
      <w:r w:rsidR="004E0A3F">
        <w:t>8</w:t>
      </w:r>
      <w:r>
        <w:t xml:space="preserve"> years, from 199</w:t>
      </w:r>
      <w:r w:rsidR="004E0A3F">
        <w:t>2</w:t>
      </w:r>
      <w:r>
        <w:t>-2010. The region still suffers from the loss of this large employer (</w:t>
      </w:r>
      <w:r w:rsidR="004E0A3F">
        <w:t>more than 3000</w:t>
      </w:r>
      <w:r>
        <w:t xml:space="preserve"> people). </w:t>
      </w:r>
    </w:p>
    <w:p w14:paraId="68C77651" w14:textId="77777777" w:rsidR="004E0A3F" w:rsidRDefault="004E0A3F" w:rsidP="004E0A3F"/>
    <w:p w14:paraId="0317A6AD" w14:textId="1A9CBE44" w:rsidR="004E0A3F" w:rsidRPr="004E0A3F" w:rsidRDefault="00D92BEC" w:rsidP="004E0A3F">
      <w:pPr>
        <w:rPr>
          <w:b/>
          <w:bCs/>
        </w:rPr>
      </w:pPr>
      <w:r w:rsidRPr="004E0A3F">
        <w:rPr>
          <w:b/>
          <w:bCs/>
        </w:rPr>
        <w:t xml:space="preserve">It does not make sense for TCEQ </w:t>
      </w:r>
      <w:r w:rsidR="001838AA">
        <w:rPr>
          <w:b/>
          <w:bCs/>
        </w:rPr>
        <w:t xml:space="preserve">(let alone </w:t>
      </w:r>
      <w:r w:rsidRPr="004E0A3F">
        <w:rPr>
          <w:b/>
          <w:bCs/>
        </w:rPr>
        <w:t>the City of Ingleside</w:t>
      </w:r>
      <w:r w:rsidR="001838AA">
        <w:rPr>
          <w:b/>
          <w:bCs/>
        </w:rPr>
        <w:t>)</w:t>
      </w:r>
      <w:r w:rsidRPr="004E0A3F">
        <w:rPr>
          <w:b/>
          <w:bCs/>
        </w:rPr>
        <w:t xml:space="preserve"> to</w:t>
      </w:r>
      <w:r w:rsidR="004E0A3F">
        <w:rPr>
          <w:b/>
          <w:bCs/>
        </w:rPr>
        <w:t xml:space="preserve"> </w:t>
      </w:r>
      <w:r w:rsidR="001838AA">
        <w:rPr>
          <w:b/>
          <w:bCs/>
        </w:rPr>
        <w:t>replace</w:t>
      </w:r>
      <w:r w:rsidRPr="004E0A3F">
        <w:rPr>
          <w:b/>
          <w:bCs/>
        </w:rPr>
        <w:t xml:space="preserve"> a </w:t>
      </w:r>
      <w:r w:rsidR="004E0A3F" w:rsidRPr="004E0A3F">
        <w:rPr>
          <w:b/>
          <w:bCs/>
        </w:rPr>
        <w:t>once-</w:t>
      </w:r>
      <w:r w:rsidRPr="004E0A3F">
        <w:rPr>
          <w:b/>
          <w:bCs/>
        </w:rPr>
        <w:t xml:space="preserve">vibrant Navy Base </w:t>
      </w:r>
      <w:r w:rsidR="004E0A3F" w:rsidRPr="004E0A3F">
        <w:rPr>
          <w:b/>
          <w:bCs/>
        </w:rPr>
        <w:t xml:space="preserve">employer </w:t>
      </w:r>
      <w:r w:rsidRPr="004E0A3F">
        <w:rPr>
          <w:b/>
          <w:bCs/>
        </w:rPr>
        <w:t xml:space="preserve">with </w:t>
      </w:r>
      <w:r w:rsidR="001838AA">
        <w:rPr>
          <w:b/>
          <w:bCs/>
        </w:rPr>
        <w:t>an aggressively-expanding foreign-owned company</w:t>
      </w:r>
      <w:r w:rsidR="004E0A3F">
        <w:rPr>
          <w:b/>
          <w:bCs/>
        </w:rPr>
        <w:t xml:space="preserve"> </w:t>
      </w:r>
      <w:r w:rsidR="001838AA">
        <w:rPr>
          <w:b/>
          <w:bCs/>
        </w:rPr>
        <w:t xml:space="preserve">(Enbridge) </w:t>
      </w:r>
      <w:r w:rsidR="004E0A3F">
        <w:rPr>
          <w:b/>
          <w:bCs/>
        </w:rPr>
        <w:t>that:</w:t>
      </w:r>
    </w:p>
    <w:p w14:paraId="291C35DB" w14:textId="0CEE4D13" w:rsidR="00D92BEC" w:rsidRDefault="004E0A3F" w:rsidP="00D92BEC">
      <w:pPr>
        <w:pStyle w:val="ListParagraph"/>
        <w:numPr>
          <w:ilvl w:val="0"/>
          <w:numId w:val="18"/>
        </w:numPr>
        <w:rPr>
          <w:b/>
          <w:bCs/>
        </w:rPr>
      </w:pPr>
      <w:r>
        <w:rPr>
          <w:b/>
          <w:bCs/>
        </w:rPr>
        <w:t>routinely harm</w:t>
      </w:r>
      <w:r w:rsidR="001838AA">
        <w:rPr>
          <w:b/>
          <w:bCs/>
        </w:rPr>
        <w:t>s</w:t>
      </w:r>
      <w:r>
        <w:rPr>
          <w:b/>
          <w:bCs/>
        </w:rPr>
        <w:t xml:space="preserve"> people and environment</w:t>
      </w:r>
    </w:p>
    <w:p w14:paraId="699D79F9" w14:textId="32EED015" w:rsidR="001838AA" w:rsidRPr="004E0A3F" w:rsidRDefault="001838AA" w:rsidP="00D92BEC">
      <w:pPr>
        <w:pStyle w:val="ListParagraph"/>
        <w:numPr>
          <w:ilvl w:val="0"/>
          <w:numId w:val="18"/>
        </w:numPr>
        <w:rPr>
          <w:b/>
          <w:bCs/>
        </w:rPr>
      </w:pPr>
      <w:r>
        <w:rPr>
          <w:b/>
          <w:bCs/>
        </w:rPr>
        <w:t>has a track record of pollution violations</w:t>
      </w:r>
    </w:p>
    <w:p w14:paraId="66450345" w14:textId="2D0F84A1" w:rsidR="00D92BEC" w:rsidRPr="004E0A3F" w:rsidRDefault="00D92BEC" w:rsidP="00D92BEC">
      <w:pPr>
        <w:pStyle w:val="ListParagraph"/>
        <w:numPr>
          <w:ilvl w:val="0"/>
          <w:numId w:val="18"/>
        </w:numPr>
        <w:rPr>
          <w:b/>
          <w:bCs/>
        </w:rPr>
      </w:pPr>
      <w:r w:rsidRPr="004E0A3F">
        <w:rPr>
          <w:b/>
          <w:bCs/>
        </w:rPr>
        <w:t>only hire</w:t>
      </w:r>
      <w:r w:rsidR="001838AA">
        <w:rPr>
          <w:b/>
          <w:bCs/>
        </w:rPr>
        <w:t>s</w:t>
      </w:r>
      <w:r w:rsidRPr="004E0A3F">
        <w:rPr>
          <w:b/>
          <w:bCs/>
        </w:rPr>
        <w:t xml:space="preserve"> a few dozen people </w:t>
      </w:r>
    </w:p>
    <w:p w14:paraId="3C258530" w14:textId="6F9D0EBD" w:rsidR="00D92BEC" w:rsidRPr="004E0A3F" w:rsidRDefault="004E0A3F" w:rsidP="00D92BEC">
      <w:pPr>
        <w:pStyle w:val="ListParagraph"/>
        <w:numPr>
          <w:ilvl w:val="0"/>
          <w:numId w:val="18"/>
        </w:numPr>
        <w:rPr>
          <w:b/>
          <w:bCs/>
        </w:rPr>
      </w:pPr>
      <w:r>
        <w:rPr>
          <w:b/>
          <w:bCs/>
        </w:rPr>
        <w:t>make</w:t>
      </w:r>
      <w:r w:rsidR="001838AA">
        <w:rPr>
          <w:b/>
          <w:bCs/>
        </w:rPr>
        <w:t xml:space="preserve">s </w:t>
      </w:r>
      <w:r w:rsidR="00D92BEC" w:rsidRPr="004E0A3F">
        <w:rPr>
          <w:b/>
          <w:bCs/>
        </w:rPr>
        <w:t>foreign-owned companies</w:t>
      </w:r>
      <w:r w:rsidRPr="004E0A3F">
        <w:rPr>
          <w:b/>
          <w:bCs/>
        </w:rPr>
        <w:t xml:space="preserve"> </w:t>
      </w:r>
      <w:r w:rsidR="00D92BEC" w:rsidRPr="004E0A3F">
        <w:rPr>
          <w:b/>
          <w:bCs/>
        </w:rPr>
        <w:t>rich</w:t>
      </w:r>
      <w:r>
        <w:rPr>
          <w:b/>
          <w:bCs/>
        </w:rPr>
        <w:t>, while avoiding local taxes</w:t>
      </w:r>
    </w:p>
    <w:p w14:paraId="03841627" w14:textId="0B39173F" w:rsidR="00D92BEC" w:rsidRDefault="001838AA" w:rsidP="00D92BEC">
      <w:pPr>
        <w:pStyle w:val="ListParagraph"/>
        <w:numPr>
          <w:ilvl w:val="0"/>
          <w:numId w:val="18"/>
        </w:numPr>
        <w:rPr>
          <w:b/>
          <w:bCs/>
        </w:rPr>
      </w:pPr>
      <w:r>
        <w:rPr>
          <w:b/>
          <w:bCs/>
        </w:rPr>
        <w:t>risks safety of</w:t>
      </w:r>
      <w:r w:rsidR="00D92BEC" w:rsidRPr="004E0A3F">
        <w:rPr>
          <w:b/>
          <w:bCs/>
        </w:rPr>
        <w:t xml:space="preserve"> the local population</w:t>
      </w:r>
      <w:r w:rsidR="004E0A3F">
        <w:rPr>
          <w:b/>
          <w:bCs/>
        </w:rPr>
        <w:t xml:space="preserve"> with toxic leaks, spills, collisions, explosions, and potential terrorist actions</w:t>
      </w:r>
    </w:p>
    <w:p w14:paraId="07726466" w14:textId="347BB43F" w:rsidR="001838AA" w:rsidRDefault="001838AA" w:rsidP="00D92BEC">
      <w:pPr>
        <w:pStyle w:val="ListParagraph"/>
        <w:numPr>
          <w:ilvl w:val="0"/>
          <w:numId w:val="18"/>
        </w:numPr>
        <w:rPr>
          <w:b/>
          <w:bCs/>
        </w:rPr>
      </w:pPr>
      <w:r>
        <w:rPr>
          <w:b/>
          <w:bCs/>
        </w:rPr>
        <w:t xml:space="preserve">threatens to destroy a historical </w:t>
      </w:r>
      <w:proofErr w:type="spellStart"/>
      <w:r>
        <w:rPr>
          <w:b/>
          <w:bCs/>
        </w:rPr>
        <w:t>Karankawan</w:t>
      </w:r>
      <w:proofErr w:type="spellEnd"/>
      <w:r>
        <w:rPr>
          <w:b/>
          <w:bCs/>
        </w:rPr>
        <w:t xml:space="preserve"> site eligible for the National Register of Historic Places</w:t>
      </w:r>
    </w:p>
    <w:p w14:paraId="7FF5E54E" w14:textId="08BEACA2" w:rsidR="004E0A3F" w:rsidRPr="004E0A3F" w:rsidRDefault="004E0A3F" w:rsidP="00D92BEC">
      <w:pPr>
        <w:pStyle w:val="ListParagraph"/>
        <w:numPr>
          <w:ilvl w:val="0"/>
          <w:numId w:val="18"/>
        </w:numPr>
        <w:rPr>
          <w:b/>
          <w:bCs/>
        </w:rPr>
      </w:pPr>
      <w:r>
        <w:rPr>
          <w:b/>
          <w:bCs/>
        </w:rPr>
        <w:t>contribute</w:t>
      </w:r>
      <w:r w:rsidR="001838AA">
        <w:rPr>
          <w:b/>
          <w:bCs/>
        </w:rPr>
        <w:t>s</w:t>
      </w:r>
      <w:r>
        <w:rPr>
          <w:b/>
          <w:bCs/>
        </w:rPr>
        <w:t xml:space="preserve"> to global climate change, which worsens sea level rise and flooding for Texas coastal communities</w:t>
      </w:r>
    </w:p>
    <w:p w14:paraId="432CF6F5" w14:textId="3DBD9195" w:rsidR="004E0A3F" w:rsidRDefault="004E0A3F" w:rsidP="004E0A3F">
      <w:pPr>
        <w:spacing w:after="160"/>
      </w:pPr>
    </w:p>
    <w:p w14:paraId="27E9CE93" w14:textId="73BF47B1" w:rsidR="00873A96" w:rsidRPr="00997E0E" w:rsidRDefault="00873A96" w:rsidP="004E0A3F">
      <w:pPr>
        <w:spacing w:after="160"/>
      </w:pPr>
      <w:r>
        <w:t xml:space="preserve">Enbridge knew when it bought the property that it is located next to the City of Ingleside on the Bay, but it has done everything it can to obscure this fact. USACE, TCEQ, and the City of Ingleside have all approved permits that harm IOB, forcing IOBCWA to file lawsuits at every turn. It is time for TCEQ to do its job to protect human health by requiring Best Available Control Technologies (BACT) for all equipment currently in use and to put safeguards in place that limit any further expansion by Enbridge. </w:t>
      </w:r>
    </w:p>
    <w:sectPr w:rsidR="00873A96" w:rsidRPr="00997E0E" w:rsidSect="0077343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E6DA9"/>
    <w:multiLevelType w:val="hybridMultilevel"/>
    <w:tmpl w:val="942AB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D00895"/>
    <w:multiLevelType w:val="hybridMultilevel"/>
    <w:tmpl w:val="D9D08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1428E2"/>
    <w:multiLevelType w:val="hybridMultilevel"/>
    <w:tmpl w:val="5958F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56098"/>
    <w:multiLevelType w:val="hybridMultilevel"/>
    <w:tmpl w:val="015EF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D67E5"/>
    <w:multiLevelType w:val="hybridMultilevel"/>
    <w:tmpl w:val="FBF69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7602E5"/>
    <w:multiLevelType w:val="hybridMultilevel"/>
    <w:tmpl w:val="7356231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339513F1"/>
    <w:multiLevelType w:val="hybridMultilevel"/>
    <w:tmpl w:val="944CB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0F0682"/>
    <w:multiLevelType w:val="hybridMultilevel"/>
    <w:tmpl w:val="D91211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3F3D20"/>
    <w:multiLevelType w:val="hybridMultilevel"/>
    <w:tmpl w:val="88944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E824E65"/>
    <w:multiLevelType w:val="hybridMultilevel"/>
    <w:tmpl w:val="95F2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C800FC"/>
    <w:multiLevelType w:val="hybridMultilevel"/>
    <w:tmpl w:val="004E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9420C2"/>
    <w:multiLevelType w:val="hybridMultilevel"/>
    <w:tmpl w:val="DF1A8D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0E61071"/>
    <w:multiLevelType w:val="hybridMultilevel"/>
    <w:tmpl w:val="F83820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A7A0E23"/>
    <w:multiLevelType w:val="hybridMultilevel"/>
    <w:tmpl w:val="013237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BD179F7"/>
    <w:multiLevelType w:val="hybridMultilevel"/>
    <w:tmpl w:val="7D964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D81421"/>
    <w:multiLevelType w:val="hybridMultilevel"/>
    <w:tmpl w:val="B35E9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5B7DC3"/>
    <w:multiLevelType w:val="hybridMultilevel"/>
    <w:tmpl w:val="D4320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7F3530"/>
    <w:multiLevelType w:val="hybridMultilevel"/>
    <w:tmpl w:val="76D063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94870474">
    <w:abstractNumId w:val="3"/>
  </w:num>
  <w:num w:numId="2" w16cid:durableId="394083175">
    <w:abstractNumId w:val="2"/>
  </w:num>
  <w:num w:numId="3" w16cid:durableId="2080055269">
    <w:abstractNumId w:val="8"/>
  </w:num>
  <w:num w:numId="4" w16cid:durableId="1081177196">
    <w:abstractNumId w:val="5"/>
  </w:num>
  <w:num w:numId="5" w16cid:durableId="819420908">
    <w:abstractNumId w:val="10"/>
  </w:num>
  <w:num w:numId="6" w16cid:durableId="1046636475">
    <w:abstractNumId w:val="6"/>
  </w:num>
  <w:num w:numId="7" w16cid:durableId="617685528">
    <w:abstractNumId w:val="1"/>
  </w:num>
  <w:num w:numId="8" w16cid:durableId="431433888">
    <w:abstractNumId w:val="9"/>
  </w:num>
  <w:num w:numId="9" w16cid:durableId="1779905592">
    <w:abstractNumId w:val="17"/>
  </w:num>
  <w:num w:numId="10" w16cid:durableId="113448650">
    <w:abstractNumId w:val="13"/>
  </w:num>
  <w:num w:numId="11" w16cid:durableId="17197280">
    <w:abstractNumId w:val="7"/>
  </w:num>
  <w:num w:numId="12" w16cid:durableId="639500321">
    <w:abstractNumId w:val="4"/>
  </w:num>
  <w:num w:numId="13" w16cid:durableId="1796025290">
    <w:abstractNumId w:val="0"/>
  </w:num>
  <w:num w:numId="14" w16cid:durableId="440690276">
    <w:abstractNumId w:val="11"/>
  </w:num>
  <w:num w:numId="15" w16cid:durableId="1377268462">
    <w:abstractNumId w:val="12"/>
  </w:num>
  <w:num w:numId="16" w16cid:durableId="371344537">
    <w:abstractNumId w:val="14"/>
  </w:num>
  <w:num w:numId="17" w16cid:durableId="68620318">
    <w:abstractNumId w:val="16"/>
  </w:num>
  <w:num w:numId="18" w16cid:durableId="14388666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5656c718-5385-47be-92c7-07f46b43e938"/>
  </w:docVars>
  <w:rsids>
    <w:rsidRoot w:val="00997E0E"/>
    <w:rsid w:val="00027ACA"/>
    <w:rsid w:val="000B175A"/>
    <w:rsid w:val="000C7FE8"/>
    <w:rsid w:val="000D4547"/>
    <w:rsid w:val="000D78DF"/>
    <w:rsid w:val="001838AA"/>
    <w:rsid w:val="00201154"/>
    <w:rsid w:val="00203AA6"/>
    <w:rsid w:val="0023113F"/>
    <w:rsid w:val="0024748D"/>
    <w:rsid w:val="0029644D"/>
    <w:rsid w:val="003067B2"/>
    <w:rsid w:val="00355B40"/>
    <w:rsid w:val="003B6A79"/>
    <w:rsid w:val="003F3ABF"/>
    <w:rsid w:val="00403CAD"/>
    <w:rsid w:val="00445CC7"/>
    <w:rsid w:val="00456F04"/>
    <w:rsid w:val="004E0A3F"/>
    <w:rsid w:val="00517520"/>
    <w:rsid w:val="00521FDF"/>
    <w:rsid w:val="00567044"/>
    <w:rsid w:val="005849BB"/>
    <w:rsid w:val="005D3907"/>
    <w:rsid w:val="005D7982"/>
    <w:rsid w:val="006733B5"/>
    <w:rsid w:val="00684996"/>
    <w:rsid w:val="00690D83"/>
    <w:rsid w:val="006B0AD0"/>
    <w:rsid w:val="006F43E4"/>
    <w:rsid w:val="0077343E"/>
    <w:rsid w:val="00796A0F"/>
    <w:rsid w:val="007A3E56"/>
    <w:rsid w:val="007B4F1B"/>
    <w:rsid w:val="007C03AD"/>
    <w:rsid w:val="007D5D80"/>
    <w:rsid w:val="00852803"/>
    <w:rsid w:val="0086108C"/>
    <w:rsid w:val="00873A96"/>
    <w:rsid w:val="008923C9"/>
    <w:rsid w:val="00926785"/>
    <w:rsid w:val="0093526F"/>
    <w:rsid w:val="00997E0E"/>
    <w:rsid w:val="009A0C19"/>
    <w:rsid w:val="00AB5BB3"/>
    <w:rsid w:val="00AD164F"/>
    <w:rsid w:val="00AD4C3E"/>
    <w:rsid w:val="00B27EBC"/>
    <w:rsid w:val="00B349C6"/>
    <w:rsid w:val="00BA2C19"/>
    <w:rsid w:val="00BA3D4B"/>
    <w:rsid w:val="00BD6CBC"/>
    <w:rsid w:val="00C61D53"/>
    <w:rsid w:val="00CA758F"/>
    <w:rsid w:val="00CC1937"/>
    <w:rsid w:val="00D1252E"/>
    <w:rsid w:val="00D155B2"/>
    <w:rsid w:val="00D53603"/>
    <w:rsid w:val="00D863B1"/>
    <w:rsid w:val="00D9108F"/>
    <w:rsid w:val="00D92BEC"/>
    <w:rsid w:val="00E007BB"/>
    <w:rsid w:val="00E3241A"/>
    <w:rsid w:val="00E876DF"/>
    <w:rsid w:val="00E96C80"/>
    <w:rsid w:val="00F20CD8"/>
    <w:rsid w:val="00F91FB1"/>
    <w:rsid w:val="00FB6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C0486"/>
  <w15:chartTrackingRefBased/>
  <w15:docId w15:val="{940DA2A0-F552-42D6-9E2D-1326B6649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CAD"/>
    <w:pPr>
      <w:spacing w:after="0"/>
    </w:pPr>
  </w:style>
  <w:style w:type="paragraph" w:styleId="Heading1">
    <w:name w:val="heading 1"/>
    <w:basedOn w:val="Normal"/>
    <w:next w:val="Normal"/>
    <w:link w:val="Heading1Char"/>
    <w:uiPriority w:val="9"/>
    <w:qFormat/>
    <w:rsid w:val="00997E0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241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E0E"/>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997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6A79"/>
    <w:pPr>
      <w:ind w:left="720"/>
      <w:contextualSpacing/>
    </w:pPr>
  </w:style>
  <w:style w:type="character" w:styleId="Hyperlink">
    <w:name w:val="Hyperlink"/>
    <w:basedOn w:val="DefaultParagraphFont"/>
    <w:uiPriority w:val="99"/>
    <w:unhideWhenUsed/>
    <w:rsid w:val="00203AA6"/>
    <w:rPr>
      <w:color w:val="0563C1" w:themeColor="hyperlink"/>
      <w:u w:val="single"/>
    </w:rPr>
  </w:style>
  <w:style w:type="character" w:styleId="UnresolvedMention">
    <w:name w:val="Unresolved Mention"/>
    <w:basedOn w:val="DefaultParagraphFont"/>
    <w:uiPriority w:val="99"/>
    <w:semiHidden/>
    <w:unhideWhenUsed/>
    <w:rsid w:val="00203AA6"/>
    <w:rPr>
      <w:color w:val="605E5C"/>
      <w:shd w:val="clear" w:color="auto" w:fill="E1DFDD"/>
    </w:rPr>
  </w:style>
  <w:style w:type="character" w:styleId="FollowedHyperlink">
    <w:name w:val="FollowedHyperlink"/>
    <w:basedOn w:val="DefaultParagraphFont"/>
    <w:uiPriority w:val="99"/>
    <w:semiHidden/>
    <w:unhideWhenUsed/>
    <w:rsid w:val="005849BB"/>
    <w:rPr>
      <w:color w:val="954F72" w:themeColor="followedHyperlink"/>
      <w:u w:val="single"/>
    </w:rPr>
  </w:style>
  <w:style w:type="paragraph" w:customStyle="1" w:styleId="Default">
    <w:name w:val="Default"/>
    <w:rsid w:val="00201154"/>
    <w:pPr>
      <w:autoSpaceDE w:val="0"/>
      <w:autoSpaceDN w:val="0"/>
      <w:adjustRightInd w:val="0"/>
      <w:spacing w:after="0" w:line="240" w:lineRule="auto"/>
    </w:pPr>
    <w:rPr>
      <w:rFonts w:ascii="Arial" w:hAnsi="Arial" w:cs="Arial"/>
      <w:color w:val="000000"/>
      <w:kern w:val="0"/>
      <w:sz w:val="24"/>
      <w:szCs w:val="24"/>
    </w:rPr>
  </w:style>
  <w:style w:type="character" w:customStyle="1" w:styleId="Heading2Char">
    <w:name w:val="Heading 2 Char"/>
    <w:basedOn w:val="DefaultParagraphFont"/>
    <w:link w:val="Heading2"/>
    <w:uiPriority w:val="9"/>
    <w:rsid w:val="00E3241A"/>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0D4547"/>
    <w:rPr>
      <w:sz w:val="16"/>
      <w:szCs w:val="16"/>
    </w:rPr>
  </w:style>
  <w:style w:type="paragraph" w:styleId="CommentText">
    <w:name w:val="annotation text"/>
    <w:basedOn w:val="Normal"/>
    <w:link w:val="CommentTextChar"/>
    <w:uiPriority w:val="99"/>
    <w:unhideWhenUsed/>
    <w:rsid w:val="000D4547"/>
    <w:pPr>
      <w:spacing w:line="240" w:lineRule="auto"/>
    </w:pPr>
    <w:rPr>
      <w:sz w:val="20"/>
      <w:szCs w:val="20"/>
    </w:rPr>
  </w:style>
  <w:style w:type="character" w:customStyle="1" w:styleId="CommentTextChar">
    <w:name w:val="Comment Text Char"/>
    <w:basedOn w:val="DefaultParagraphFont"/>
    <w:link w:val="CommentText"/>
    <w:uiPriority w:val="99"/>
    <w:rsid w:val="000D4547"/>
    <w:rPr>
      <w:sz w:val="20"/>
      <w:szCs w:val="20"/>
    </w:rPr>
  </w:style>
  <w:style w:type="paragraph" w:styleId="CommentSubject">
    <w:name w:val="annotation subject"/>
    <w:basedOn w:val="CommentText"/>
    <w:next w:val="CommentText"/>
    <w:link w:val="CommentSubjectChar"/>
    <w:uiPriority w:val="99"/>
    <w:semiHidden/>
    <w:unhideWhenUsed/>
    <w:rsid w:val="000D4547"/>
    <w:rPr>
      <w:b/>
      <w:bCs/>
    </w:rPr>
  </w:style>
  <w:style w:type="character" w:customStyle="1" w:styleId="CommentSubjectChar">
    <w:name w:val="Comment Subject Char"/>
    <w:basedOn w:val="CommentTextChar"/>
    <w:link w:val="CommentSubject"/>
    <w:uiPriority w:val="99"/>
    <w:semiHidden/>
    <w:rsid w:val="000D45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4.tceq.texas.gov/epic/eComment/" TargetMode="External"/><Relationship Id="rId13" Type="http://schemas.openxmlformats.org/officeDocument/2006/relationships/image" Target="media/image2.png"/><Relationship Id="rId18" Type="http://schemas.openxmlformats.org/officeDocument/2006/relationships/hyperlink" Target="https://en.wikipedia.org/wiki/Naval_Station_Ingleside" TargetMode="External"/><Relationship Id="rId3" Type="http://schemas.openxmlformats.org/officeDocument/2006/relationships/settings" Target="settings.xml"/><Relationship Id="rId7" Type="http://schemas.openxmlformats.org/officeDocument/2006/relationships/hyperlink" Target="https://www.tceq.texas.gov/assets/public/permitting/air/publicnotice/34024sob.pdf" TargetMode="External"/><Relationship Id="rId12" Type="http://schemas.openxmlformats.org/officeDocument/2006/relationships/hyperlink" Target="https://www.inglesidetx.gov/DocumentCenter/View/4855/2013-11-12-Resolution-1075" TargetMode="External"/><Relationship Id="rId17" Type="http://schemas.openxmlformats.org/officeDocument/2006/relationships/hyperlink" Target="https://www.inglesidetx.gov/1508/Objectionable-Use-Request" TargetMode="External"/><Relationship Id="rId2" Type="http://schemas.openxmlformats.org/officeDocument/2006/relationships/styles" Target="styles.xml"/><Relationship Id="rId16" Type="http://schemas.openxmlformats.org/officeDocument/2006/relationships/hyperlink" Target="https://www.inglesidetx.gov/1508/Objectionable-Use-Reques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tceq.texas.gov/assets/public/permitting/air/publicnotice/34024sop.pdf" TargetMode="External"/><Relationship Id="rId11" Type="http://schemas.openxmlformats.org/officeDocument/2006/relationships/image" Target="media/image1.png"/><Relationship Id="rId5" Type="http://schemas.openxmlformats.org/officeDocument/2006/relationships/hyperlink" Target="https://www.tceq.texas.gov/assets/public/permitting/air/publicnotice/34024sop.pdf" TargetMode="External"/><Relationship Id="rId15" Type="http://schemas.openxmlformats.org/officeDocument/2006/relationships/image" Target="media/image3.png"/><Relationship Id="rId10" Type="http://schemas.openxmlformats.org/officeDocument/2006/relationships/hyperlink" Target="https://www.inglesidetx.gov/DocumentCenter/View/4841/2012-07-10-Ordinance-1061_Ingleside-Zoning-106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nsideclimatenews.org/news/26122023/state-of-denial-texas-polluters-evade-federal-law/?utm_source=InsideClimate+News&amp;utm_campaign=71c0f91a1d-EMAIL_CAMPAIGN_2023_12_30_02_04&amp;utm_medium=email&amp;utm_term=0_29c928ffb5-71c0f91a1d-328611144" TargetMode="External"/><Relationship Id="rId14" Type="http://schemas.openxmlformats.org/officeDocument/2006/relationships/hyperlink" Target="https://www.enbridge.com/projects-and-infrastructure/public-awareness/project-yaren-blue-ammonia-at-ingles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2037</Words>
  <Characters>11614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Masten</dc:creator>
  <cp:keywords/>
  <dc:description/>
  <cp:lastModifiedBy>Kathryn Masten</cp:lastModifiedBy>
  <cp:revision>5</cp:revision>
  <dcterms:created xsi:type="dcterms:W3CDTF">2024-01-10T16:11:00Z</dcterms:created>
  <dcterms:modified xsi:type="dcterms:W3CDTF">2024-01-10T16:17:00Z</dcterms:modified>
</cp:coreProperties>
</file>